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AEE" w:rsidRDefault="00B12AEE">
      <w:pPr>
        <w:widowControl w:val="0"/>
        <w:pBdr>
          <w:top w:val="nil"/>
          <w:left w:val="nil"/>
          <w:bottom w:val="nil"/>
          <w:right w:val="nil"/>
          <w:between w:val="nil"/>
        </w:pBdr>
        <w:spacing w:after="0" w:line="276" w:lineRule="auto"/>
        <w:ind w:left="0" w:hanging="2"/>
        <w:jc w:val="left"/>
      </w:pPr>
    </w:p>
    <w:p w:rsidR="00B12AEE" w:rsidRDefault="00B12AEE">
      <w:pPr>
        <w:widowControl w:val="0"/>
        <w:pBdr>
          <w:top w:val="nil"/>
          <w:left w:val="nil"/>
          <w:bottom w:val="nil"/>
          <w:right w:val="nil"/>
          <w:between w:val="nil"/>
        </w:pBdr>
        <w:spacing w:after="0" w:line="276" w:lineRule="auto"/>
        <w:ind w:left="0" w:hanging="2"/>
        <w:jc w:val="left"/>
        <w:rPr>
          <w:rFonts w:ascii="Arial" w:eastAsia="Arial" w:hAnsi="Arial" w:cs="Arial"/>
        </w:rPr>
      </w:pPr>
    </w:p>
    <w:p w:rsidR="00B12AEE" w:rsidRDefault="006423FB">
      <w:pPr>
        <w:spacing w:before="240" w:after="0" w:line="276" w:lineRule="auto"/>
        <w:ind w:left="2" w:hanging="4"/>
        <w:rPr>
          <w:rFonts w:ascii="Arial" w:eastAsia="Arial" w:hAnsi="Arial" w:cs="Arial"/>
          <w:b/>
          <w:sz w:val="36"/>
          <w:szCs w:val="36"/>
        </w:rPr>
      </w:pPr>
      <w:r>
        <w:rPr>
          <w:rFonts w:ascii="Arial" w:eastAsia="Arial" w:hAnsi="Arial" w:cs="Arial"/>
          <w:b/>
          <w:sz w:val="36"/>
          <w:szCs w:val="36"/>
        </w:rPr>
        <w:t>Call-off Schedule 5 (Pricing Details)</w:t>
      </w:r>
    </w:p>
    <w:p w:rsidR="00B12AEE" w:rsidRDefault="006423FB">
      <w:pPr>
        <w:spacing w:before="240" w:after="0" w:line="276" w:lineRule="auto"/>
        <w:ind w:left="2" w:hanging="4"/>
        <w:rPr>
          <w:rFonts w:ascii="Arial" w:eastAsia="Arial" w:hAnsi="Arial" w:cs="Arial"/>
          <w:b/>
          <w:sz w:val="36"/>
          <w:szCs w:val="36"/>
        </w:rPr>
      </w:pPr>
      <w:bookmarkStart w:id="0" w:name="_heading=h.1y810tw" w:colFirst="0" w:colLast="0"/>
      <w:bookmarkEnd w:id="0"/>
      <w:r>
        <w:rPr>
          <w:rFonts w:ascii="Arial" w:eastAsia="Arial" w:hAnsi="Arial" w:cs="Arial"/>
          <w:b/>
          <w:sz w:val="36"/>
          <w:szCs w:val="36"/>
        </w:rPr>
        <w:t xml:space="preserve">Part </w:t>
      </w:r>
      <w:proofErr w:type="gramStart"/>
      <w:r>
        <w:rPr>
          <w:rFonts w:ascii="Arial" w:eastAsia="Arial" w:hAnsi="Arial" w:cs="Arial"/>
          <w:b/>
          <w:sz w:val="36"/>
          <w:szCs w:val="36"/>
        </w:rPr>
        <w:t>A</w:t>
      </w:r>
      <w:proofErr w:type="gramEnd"/>
      <w:r>
        <w:rPr>
          <w:rFonts w:ascii="Arial" w:eastAsia="Arial" w:hAnsi="Arial" w:cs="Arial"/>
          <w:b/>
          <w:sz w:val="36"/>
          <w:szCs w:val="36"/>
        </w:rPr>
        <w:t xml:space="preserve"> – Fixed Fee Pricing</w:t>
      </w:r>
    </w:p>
    <w:p w:rsidR="00B12AEE" w:rsidRDefault="00B12AEE">
      <w:pPr>
        <w:pBdr>
          <w:top w:val="nil"/>
          <w:left w:val="nil"/>
          <w:bottom w:val="nil"/>
          <w:right w:val="nil"/>
          <w:between w:val="nil"/>
        </w:pBdr>
        <w:tabs>
          <w:tab w:val="center" w:pos="4153"/>
          <w:tab w:val="right" w:pos="8306"/>
          <w:tab w:val="center" w:pos="4513"/>
          <w:tab w:val="right" w:pos="9026"/>
        </w:tabs>
        <w:spacing w:after="0" w:line="240" w:lineRule="auto"/>
        <w:ind w:left="0" w:hanging="2"/>
        <w:rPr>
          <w:rFonts w:ascii="Arial" w:eastAsia="Arial" w:hAnsi="Arial" w:cs="Arial"/>
          <w:color w:val="000000"/>
          <w:sz w:val="24"/>
          <w:szCs w:val="24"/>
        </w:rPr>
      </w:pPr>
    </w:p>
    <w:p w:rsidR="00B12AEE" w:rsidRDefault="006423FB">
      <w:pPr>
        <w:keepNext/>
        <w:pBdr>
          <w:top w:val="nil"/>
          <w:left w:val="nil"/>
          <w:bottom w:val="nil"/>
          <w:right w:val="nil"/>
          <w:between w:val="nil"/>
        </w:pBdr>
        <w:spacing w:line="240" w:lineRule="auto"/>
        <w:ind w:left="0" w:hanging="2"/>
        <w:rPr>
          <w:rFonts w:ascii="Arial" w:eastAsia="Arial" w:hAnsi="Arial" w:cs="Arial"/>
          <w:color w:val="000000"/>
          <w:sz w:val="24"/>
          <w:szCs w:val="24"/>
        </w:rPr>
      </w:pPr>
      <w:bookmarkStart w:id="1" w:name="_heading=h.z337ya" w:colFirst="0" w:colLast="0"/>
      <w:bookmarkEnd w:id="1"/>
      <w:r>
        <w:rPr>
          <w:rFonts w:ascii="Arial" w:eastAsia="Arial" w:hAnsi="Arial" w:cs="Arial"/>
          <w:color w:val="000000"/>
          <w:sz w:val="24"/>
          <w:szCs w:val="24"/>
        </w:rPr>
        <w:t>This part of this schedule shall apply where the Fixed Fee Pricing option is selected in the Order Form.</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bookmarkStart w:id="2" w:name="_heading=h.gjdgxs" w:colFirst="0" w:colLast="0"/>
      <w:bookmarkEnd w:id="2"/>
      <w:r>
        <w:rPr>
          <w:rFonts w:ascii="Arial" w:eastAsia="Arial" w:hAnsi="Arial" w:cs="Arial"/>
          <w:b/>
          <w:sz w:val="24"/>
          <w:szCs w:val="24"/>
        </w:rPr>
        <w:t>Calculation Of The Charges</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fixed fee Charges shall be: </w:t>
      </w:r>
    </w:p>
    <w:p w:rsidR="00B12AEE" w:rsidRDefault="006423FB">
      <w:pPr>
        <w:numPr>
          <w:ilvl w:val="2"/>
          <w:numId w:val="2"/>
        </w:numPr>
        <w:pBdr>
          <w:top w:val="nil"/>
          <w:left w:val="nil"/>
          <w:bottom w:val="nil"/>
          <w:right w:val="nil"/>
          <w:between w:val="nil"/>
        </w:pBdr>
        <w:shd w:val="clear" w:color="auto" w:fill="FFFFFF"/>
        <w:spacing w:line="240" w:lineRule="auto"/>
        <w:ind w:left="0" w:hanging="2"/>
        <w:rPr>
          <w:rFonts w:ascii="Arial" w:eastAsia="Arial" w:hAnsi="Arial" w:cs="Arial"/>
          <w:color w:val="000000"/>
          <w:sz w:val="24"/>
          <w:szCs w:val="24"/>
        </w:rPr>
      </w:pPr>
      <w:r>
        <w:rPr>
          <w:rFonts w:ascii="Arial" w:eastAsia="Arial" w:hAnsi="Arial" w:cs="Arial"/>
          <w:color w:val="222222"/>
          <w:sz w:val="24"/>
          <w:szCs w:val="24"/>
          <w:highlight w:val="white"/>
        </w:rPr>
        <w:t>calculated on the basis of the rates and prices specified in the Fixed Fee Pricing Matrix as submitted at Further Competition, and based on the principles in Annex 1; </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paid in respect of Service Months for full and proper performance by the Supplier of its obligations under the Call-Off Contract; and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proofErr w:type="gramStart"/>
      <w:r>
        <w:rPr>
          <w:rFonts w:ascii="Arial" w:eastAsia="Arial" w:hAnsi="Arial" w:cs="Arial"/>
          <w:color w:val="000000"/>
          <w:sz w:val="24"/>
          <w:szCs w:val="24"/>
        </w:rPr>
        <w:t>paid</w:t>
      </w:r>
      <w:proofErr w:type="gramEnd"/>
      <w:r>
        <w:rPr>
          <w:rFonts w:ascii="Arial" w:eastAsia="Arial" w:hAnsi="Arial" w:cs="Arial"/>
          <w:color w:val="000000"/>
          <w:sz w:val="24"/>
          <w:szCs w:val="24"/>
        </w:rPr>
        <w:t xml:space="preserve"> by way of monthly payments ("</w:t>
      </w:r>
      <w:r>
        <w:rPr>
          <w:rFonts w:ascii="Arial" w:eastAsia="Arial" w:hAnsi="Arial" w:cs="Arial"/>
          <w:b/>
          <w:color w:val="000000"/>
          <w:sz w:val="24"/>
          <w:szCs w:val="24"/>
        </w:rPr>
        <w:t>Monthly Payments</w:t>
      </w:r>
      <w:r>
        <w:rPr>
          <w:rFonts w:ascii="Arial" w:eastAsia="Arial" w:hAnsi="Arial" w:cs="Arial"/>
          <w:color w:val="000000"/>
          <w:sz w:val="24"/>
          <w:szCs w:val="24"/>
        </w:rPr>
        <w:t>") which shall be calculated in accordance with paragraph 1.2 below.</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Subject to paragraphs 1.3 and 1.4 below, the Monthly Payment (</w:t>
      </w:r>
      <w:proofErr w:type="spellStart"/>
      <w:r>
        <w:rPr>
          <w:rFonts w:ascii="Arial" w:eastAsia="Arial" w:hAnsi="Arial" w:cs="Arial"/>
          <w:color w:val="000000"/>
          <w:sz w:val="24"/>
          <w:szCs w:val="24"/>
        </w:rPr>
        <w:t>MPn</w:t>
      </w:r>
      <w:proofErr w:type="spellEnd"/>
      <w:r>
        <w:rPr>
          <w:rFonts w:ascii="Arial" w:eastAsia="Arial" w:hAnsi="Arial" w:cs="Arial"/>
          <w:color w:val="000000"/>
          <w:sz w:val="24"/>
          <w:szCs w:val="24"/>
        </w:rPr>
        <w:t>), in respect of a Service Month “n” shall be calculated in accordance with the following formula:</w:t>
      </w:r>
    </w:p>
    <w:p w:rsidR="00B12AEE" w:rsidRDefault="005E0431">
      <w:pPr>
        <w:pBdr>
          <w:top w:val="nil"/>
          <w:left w:val="nil"/>
          <w:bottom w:val="nil"/>
          <w:right w:val="nil"/>
          <w:between w:val="nil"/>
        </w:pBdr>
        <w:spacing w:after="120" w:line="240" w:lineRule="auto"/>
        <w:ind w:left="0" w:hanging="2"/>
        <w:jc w:val="center"/>
        <w:rPr>
          <w:rFonts w:ascii="Arial" w:eastAsia="Arial" w:hAnsi="Arial" w:cs="Arial"/>
          <w:color w:val="000000"/>
          <w:sz w:val="24"/>
          <w:szCs w:val="24"/>
        </w:rPr>
      </w:pPr>
      <w:r>
        <w:rPr>
          <w:rFonts w:ascii="Arial" w:eastAsia="Arial" w:hAnsi="Arial" w:cs="Arial"/>
          <w:b/>
          <w:color w:val="000000"/>
          <w:sz w:val="24"/>
          <w:szCs w:val="24"/>
        </w:rPr>
        <w:pict w14:anchorId="3EC2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0" o:spid="_x0000_i1025" type="#_x0000_t75" style="width:221.5pt;height:17pt;visibility:visible">
            <v:imagedata r:id="rId8" o:title=""/>
            <v:path o:extrusionok="t"/>
          </v:shape>
        </w:pict>
      </w:r>
    </w:p>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where:</w:t>
      </w:r>
    </w:p>
    <w:tbl>
      <w:tblPr>
        <w:tblStyle w:val="af0"/>
        <w:tblW w:w="8073" w:type="dxa"/>
        <w:tblInd w:w="67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000" w:firstRow="0" w:lastRow="0" w:firstColumn="0" w:lastColumn="0" w:noHBand="0" w:noVBand="0"/>
      </w:tblPr>
      <w:tblGrid>
        <w:gridCol w:w="1134"/>
        <w:gridCol w:w="6939"/>
      </w:tblGrid>
      <w:tr w:rsidR="00B12AEE">
        <w:tc>
          <w:tcPr>
            <w:tcW w:w="1134" w:type="dxa"/>
            <w:tcBorders>
              <w:top w:val="single" w:sz="4" w:space="0" w:color="000000"/>
              <w:lef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MP</w:t>
            </w:r>
            <w:r>
              <w:rPr>
                <w:rFonts w:ascii="Arial" w:eastAsia="Arial" w:hAnsi="Arial" w:cs="Arial"/>
                <w:color w:val="000000"/>
                <w:sz w:val="24"/>
                <w:szCs w:val="24"/>
                <w:vertAlign w:val="subscript"/>
              </w:rPr>
              <w:t>n</w:t>
            </w:r>
          </w:p>
        </w:tc>
        <w:tc>
          <w:tcPr>
            <w:tcW w:w="6939" w:type="dxa"/>
            <w:tcBorders>
              <w:top w:val="single" w:sz="4" w:space="0" w:color="000000"/>
              <w:righ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Monthly Payment to be determined in respect of the Service Month “n”;</w:t>
            </w:r>
          </w:p>
        </w:tc>
      </w:tr>
      <w:tr w:rsidR="00B12AEE">
        <w:tc>
          <w:tcPr>
            <w:tcW w:w="1134" w:type="dxa"/>
            <w:tcBorders>
              <w:lef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BMP</w:t>
            </w:r>
            <w:r>
              <w:rPr>
                <w:rFonts w:ascii="Arial" w:eastAsia="Arial" w:hAnsi="Arial" w:cs="Arial"/>
                <w:color w:val="000000"/>
                <w:sz w:val="24"/>
                <w:szCs w:val="24"/>
                <w:vertAlign w:val="subscript"/>
              </w:rPr>
              <w:t>n</w:t>
            </w:r>
          </w:p>
        </w:tc>
        <w:tc>
          <w:tcPr>
            <w:tcW w:w="6939" w:type="dxa"/>
            <w:tcBorders>
              <w:righ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Baseline Monthly Payment for Service Month “n” which is calculated in accordance with paragraph 2 below;</w:t>
            </w:r>
          </w:p>
        </w:tc>
      </w:tr>
      <w:tr w:rsidR="00B12AEE">
        <w:tc>
          <w:tcPr>
            <w:tcW w:w="1134" w:type="dxa"/>
            <w:tcBorders>
              <w:lef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PTC</w:t>
            </w:r>
            <w:r>
              <w:rPr>
                <w:rFonts w:ascii="Arial" w:eastAsia="Arial" w:hAnsi="Arial" w:cs="Arial"/>
                <w:color w:val="000000"/>
                <w:sz w:val="24"/>
                <w:szCs w:val="24"/>
                <w:vertAlign w:val="subscript"/>
              </w:rPr>
              <w:t>n-1</w:t>
            </w:r>
            <w:r>
              <w:rPr>
                <w:rFonts w:ascii="Arial" w:eastAsia="Arial" w:hAnsi="Arial" w:cs="Arial"/>
                <w:color w:val="000000"/>
                <w:sz w:val="24"/>
                <w:szCs w:val="24"/>
                <w:vertAlign w:val="subscript"/>
              </w:rPr>
              <w:tab/>
            </w:r>
          </w:p>
        </w:tc>
        <w:tc>
          <w:tcPr>
            <w:tcW w:w="6939" w:type="dxa"/>
            <w:tcBorders>
              <w:righ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 xml:space="preserve">is the Pass Through Costs due in respect of the Previous Service Month which is calculated in accordance with paragraph 3 below; </w:t>
            </w:r>
          </w:p>
        </w:tc>
      </w:tr>
      <w:tr w:rsidR="00B12AEE">
        <w:tc>
          <w:tcPr>
            <w:tcW w:w="1134" w:type="dxa"/>
            <w:tcBorders>
              <w:left w:val="single" w:sz="4" w:space="0" w:color="000000"/>
              <w:bottom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t>WO</w:t>
            </w:r>
            <w:r>
              <w:rPr>
                <w:rFonts w:ascii="Arial" w:eastAsia="Arial" w:hAnsi="Arial" w:cs="Arial"/>
                <w:color w:val="000000"/>
                <w:sz w:val="24"/>
                <w:szCs w:val="24"/>
                <w:vertAlign w:val="subscript"/>
              </w:rPr>
              <w:t xml:space="preserve"> n-1</w:t>
            </w:r>
          </w:p>
        </w:tc>
        <w:tc>
          <w:tcPr>
            <w:tcW w:w="6939" w:type="dxa"/>
            <w:tcBorders>
              <w:bottom w:val="single" w:sz="4" w:space="0" w:color="000000"/>
              <w:righ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total price for Work Orders which have been completed in the Previous Service Month which shall be calculated in accordance with paragraph 4 below;</w:t>
            </w:r>
          </w:p>
        </w:tc>
      </w:tr>
      <w:tr w:rsidR="00B12AEE">
        <w:trPr>
          <w:trHeight w:val="567"/>
        </w:trPr>
        <w:tc>
          <w:tcPr>
            <w:tcW w:w="1134" w:type="dxa"/>
            <w:tcBorders>
              <w:top w:val="single" w:sz="4" w:space="0" w:color="000000"/>
              <w:lef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TRP</w:t>
            </w:r>
            <w:r>
              <w:rPr>
                <w:rFonts w:ascii="Arial" w:eastAsia="Arial" w:hAnsi="Arial" w:cs="Arial"/>
                <w:color w:val="000000"/>
                <w:sz w:val="24"/>
                <w:szCs w:val="24"/>
                <w:vertAlign w:val="subscript"/>
              </w:rPr>
              <w:t xml:space="preserve"> n-1</w:t>
            </w:r>
          </w:p>
          <w:p w:rsidR="00B12AEE" w:rsidRDefault="00B12AEE">
            <w:pPr>
              <w:ind w:left="0" w:hanging="2"/>
              <w:rPr>
                <w:rFonts w:ascii="Arial" w:eastAsia="Arial" w:hAnsi="Arial" w:cs="Arial"/>
                <w:sz w:val="24"/>
                <w:szCs w:val="24"/>
              </w:rPr>
            </w:pPr>
          </w:p>
        </w:tc>
        <w:tc>
          <w:tcPr>
            <w:tcW w:w="6939" w:type="dxa"/>
            <w:tcBorders>
              <w:top w:val="single" w:sz="4" w:space="0" w:color="000000"/>
              <w:right w:val="single" w:sz="4" w:space="0" w:color="000000"/>
            </w:tcBorders>
          </w:tcPr>
          <w:p w:rsidR="00B12AEE" w:rsidRDefault="006423FB">
            <w:pPr>
              <w:pBdr>
                <w:top w:val="nil"/>
                <w:left w:val="nil"/>
                <w:bottom w:val="nil"/>
                <w:right w:val="nil"/>
                <w:between w:val="nil"/>
              </w:pBdr>
              <w:spacing w:after="20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monthly TUPE risk premium payable for the Previous Service Month calculated in accordance with Call-Off Schedule 6 (TUPE Surcharge) ("Monthly TUPE Risk Premium") and</w:t>
            </w:r>
          </w:p>
        </w:tc>
      </w:tr>
      <w:tr w:rsidR="00B12AEE">
        <w:tc>
          <w:tcPr>
            <w:tcW w:w="1134" w:type="dxa"/>
            <w:tcBorders>
              <w:top w:val="single" w:sz="4" w:space="0" w:color="000000"/>
              <w:left w:val="single" w:sz="4" w:space="0" w:color="000000"/>
              <w:bottom w:val="single" w:sz="4" w:space="0" w:color="000000"/>
            </w:tcBorders>
          </w:tcPr>
          <w:p w:rsidR="00B12AEE" w:rsidRDefault="006423FB">
            <w:pPr>
              <w:pBdr>
                <w:top w:val="nil"/>
                <w:left w:val="nil"/>
                <w:bottom w:val="nil"/>
                <w:right w:val="nil"/>
                <w:between w:val="nil"/>
              </w:pBdr>
              <w:spacing w:after="120" w:line="240" w:lineRule="auto"/>
              <w:ind w:left="0" w:hanging="2"/>
              <w:rPr>
                <w:rFonts w:ascii="Arial" w:eastAsia="Arial" w:hAnsi="Arial" w:cs="Arial"/>
                <w:color w:val="000000"/>
                <w:sz w:val="24"/>
                <w:szCs w:val="24"/>
              </w:rPr>
            </w:pPr>
            <w:r>
              <w:rPr>
                <w:rFonts w:ascii="Arial" w:eastAsia="Arial" w:hAnsi="Arial" w:cs="Arial"/>
                <w:color w:val="000000"/>
                <w:sz w:val="24"/>
                <w:szCs w:val="24"/>
              </w:rPr>
              <w:t>PA</w:t>
            </w:r>
            <w:r>
              <w:rPr>
                <w:rFonts w:ascii="Arial" w:eastAsia="Arial" w:hAnsi="Arial" w:cs="Arial"/>
                <w:color w:val="000000"/>
                <w:sz w:val="24"/>
                <w:szCs w:val="24"/>
                <w:vertAlign w:val="subscript"/>
              </w:rPr>
              <w:t>n-1</w:t>
            </w:r>
          </w:p>
        </w:tc>
        <w:tc>
          <w:tcPr>
            <w:tcW w:w="6939" w:type="dxa"/>
            <w:tcBorders>
              <w:top w:val="single" w:sz="4" w:space="0" w:color="000000"/>
              <w:bottom w:val="single" w:sz="4" w:space="0" w:color="000000"/>
              <w:right w:val="single" w:sz="4" w:space="0" w:color="000000"/>
            </w:tcBorders>
          </w:tcPr>
          <w:p w:rsidR="00B12AEE" w:rsidRDefault="006423FB">
            <w:pPr>
              <w:pBdr>
                <w:top w:val="nil"/>
                <w:left w:val="nil"/>
                <w:bottom w:val="nil"/>
                <w:right w:val="nil"/>
                <w:between w:val="nil"/>
              </w:pBdr>
              <w:spacing w:after="120" w:line="240" w:lineRule="auto"/>
              <w:ind w:left="0" w:hanging="2"/>
              <w:rPr>
                <w:rFonts w:ascii="Arial" w:eastAsia="Arial" w:hAnsi="Arial" w:cs="Arial"/>
                <w:b w:val="0"/>
                <w:color w:val="000000"/>
                <w:sz w:val="24"/>
                <w:szCs w:val="24"/>
              </w:rPr>
            </w:pPr>
            <w:r>
              <w:rPr>
                <w:rFonts w:ascii="Arial" w:eastAsia="Arial" w:hAnsi="Arial" w:cs="Arial"/>
                <w:b w:val="0"/>
                <w:color w:val="000000"/>
                <w:sz w:val="24"/>
                <w:szCs w:val="24"/>
              </w:rPr>
              <w:t>is the KPI Credit in respect of the Previous Service Month off set against the Earn Back Amount due (if applicable) for the current Service Month (or where the Order Form states that KPIs are not applicable then PA</w:t>
            </w:r>
            <w:r>
              <w:rPr>
                <w:rFonts w:ascii="Arial" w:eastAsia="Arial" w:hAnsi="Arial" w:cs="Arial"/>
                <w:b w:val="0"/>
                <w:color w:val="000000"/>
                <w:sz w:val="24"/>
                <w:szCs w:val="24"/>
                <w:vertAlign w:val="subscript"/>
              </w:rPr>
              <w:t>n-1</w:t>
            </w:r>
            <w:r>
              <w:rPr>
                <w:rFonts w:ascii="Arial" w:eastAsia="Arial" w:hAnsi="Arial" w:cs="Arial"/>
                <w:b w:val="0"/>
                <w:color w:val="000000"/>
                <w:sz w:val="24"/>
                <w:szCs w:val="24"/>
              </w:rPr>
              <w:t xml:space="preserve"> shall be deemed to be £0).</w:t>
            </w:r>
          </w:p>
          <w:p w:rsidR="00B12AEE" w:rsidRDefault="00B12AEE">
            <w:pPr>
              <w:pBdr>
                <w:top w:val="nil"/>
                <w:left w:val="nil"/>
                <w:bottom w:val="nil"/>
                <w:right w:val="nil"/>
                <w:between w:val="nil"/>
              </w:pBdr>
              <w:spacing w:after="120" w:line="240" w:lineRule="auto"/>
              <w:ind w:left="0" w:hanging="2"/>
              <w:rPr>
                <w:rFonts w:ascii="Arial" w:eastAsia="Arial" w:hAnsi="Arial" w:cs="Arial"/>
                <w:b w:val="0"/>
                <w:color w:val="000000"/>
                <w:sz w:val="24"/>
                <w:szCs w:val="24"/>
              </w:rPr>
            </w:pPr>
          </w:p>
        </w:tc>
      </w:tr>
    </w:tbl>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B12AEE" w:rsidRDefault="005E0431">
      <w:pPr>
        <w:pBdr>
          <w:top w:val="nil"/>
          <w:left w:val="nil"/>
          <w:bottom w:val="nil"/>
          <w:right w:val="nil"/>
          <w:between w:val="nil"/>
        </w:pBdr>
        <w:spacing w:after="200" w:line="240" w:lineRule="auto"/>
        <w:ind w:left="0" w:hanging="2"/>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pict>
          <v:shape id="_x0000_i1026" type="#_x0000_t75" style="width:248pt;height:16pt;visibility:visible">
            <v:imagedata r:id="rId9" o:title=""/>
            <v:path o:extrusionok="t"/>
          </v:shape>
        </w:pic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final Service Month during the Contract Period a balancing payment will be calculated to account for:</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calculated in respect of the final Service Month;</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Pass Through Costs incurred within the final Service Month; </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Monthly TUPE Risk Premium payable in respect of the final Service Month;</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Earn Back Amount payable in respect of the final Service Month; and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total price for Work Orders which have been completed in the final Service Month,</w:t>
      </w:r>
    </w:p>
    <w:p w:rsidR="00B12AEE" w:rsidRDefault="006423FB">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and such balancing payment will be paid to, or deducted from, the sums due to the Supplier following the assessment of the Supplier’s performance in the final Service Month. </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Baseline Monthly Payment</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baseline monthly payment ("</w:t>
      </w:r>
      <w:r>
        <w:rPr>
          <w:rFonts w:ascii="Arial" w:eastAsia="Arial" w:hAnsi="Arial" w:cs="Arial"/>
          <w:b/>
          <w:color w:val="000000"/>
          <w:sz w:val="24"/>
          <w:szCs w:val="24"/>
        </w:rPr>
        <w:t>Baseline Monthly Payment</w:t>
      </w:r>
      <w:r>
        <w:rPr>
          <w:rFonts w:ascii="Arial" w:eastAsia="Arial" w:hAnsi="Arial" w:cs="Arial"/>
          <w:color w:val="000000"/>
          <w:sz w:val="24"/>
          <w:szCs w:val="24"/>
        </w:rPr>
        <w:t>") payable in respect of a Service Month shall be set by reference to the Fixed Fee Pricing Matrix as submitted at Further Competition.</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lastRenderedPageBreak/>
        <w:t>Pass Through Costs</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the Order Form indicates that the Supplier is entitled to claim Pass Through Costs then:</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only those types of Pass Through Costs set out in the Order Form shall be recoverable;</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Pass Through Costs shall only be recoverable where they are incurred in accordance with the guidelines that the Buyer may issue to the Supplier from time to time; </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charge any additional amount on top of the Pass Through Costs including any margin, mark up or uplift costs; and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any claim for Pass Through Costs shall be supported by such documentation as the Buyer may request from time to time.</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Work Orders</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The price for Work Orders shall be calculated using the mechanism set out in Schedule </w:t>
      </w:r>
      <w:r>
        <w:rPr>
          <w:rFonts w:ascii="Arial" w:eastAsia="Arial" w:hAnsi="Arial" w:cs="Arial"/>
          <w:sz w:val="24"/>
          <w:szCs w:val="24"/>
        </w:rPr>
        <w:t>25</w:t>
      </w:r>
      <w:r>
        <w:rPr>
          <w:rFonts w:ascii="Arial" w:eastAsia="Arial" w:hAnsi="Arial" w:cs="Arial"/>
          <w:color w:val="000000"/>
          <w:sz w:val="24"/>
          <w:szCs w:val="24"/>
        </w:rPr>
        <w:t xml:space="preserve"> (Billable Works &amp; Projects).</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Indexation</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Any amounts or sums in this Call-Off Contract which are expressed in the Order Form to be "subject to Indexation" shall be adjusted in accordance with the provisions of this Paragraph 5 to reflect the effects of inflation.  </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Indexation applies, the relevant adjustment shall be:</w:t>
      </w:r>
    </w:p>
    <w:p w:rsidR="00B12AEE" w:rsidRDefault="006423FB">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applied on the dates set out in the Order Form (each such date an </w:t>
      </w:r>
      <w:r>
        <w:rPr>
          <w:rFonts w:ascii="Arial" w:eastAsia="Arial" w:hAnsi="Arial" w:cs="Arial"/>
          <w:b/>
          <w:color w:val="000000"/>
          <w:sz w:val="24"/>
          <w:szCs w:val="24"/>
        </w:rPr>
        <w:t>"Adjustment Date"</w:t>
      </w:r>
      <w:r>
        <w:rPr>
          <w:rFonts w:ascii="Arial" w:eastAsia="Arial" w:hAnsi="Arial" w:cs="Arial"/>
          <w:color w:val="000000"/>
          <w:sz w:val="24"/>
          <w:szCs w:val="24"/>
        </w:rPr>
        <w:t>); and</w:t>
      </w:r>
    </w:p>
    <w:p w:rsidR="00B12AEE" w:rsidRDefault="006423FB">
      <w:pPr>
        <w:numPr>
          <w:ilvl w:val="2"/>
          <w:numId w:val="2"/>
        </w:numPr>
        <w:pBdr>
          <w:top w:val="nil"/>
          <w:left w:val="nil"/>
          <w:bottom w:val="nil"/>
          <w:right w:val="nil"/>
          <w:between w:val="nil"/>
        </w:pBdr>
        <w:tabs>
          <w:tab w:val="left" w:pos="1134"/>
        </w:tabs>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determined by multiplying the relevant amount or sum by the percentage increase or changes in the Payment Index published since the previous Adjustment Date. </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If the Payment Index has not been published for the relevant month as required for this calculation then the last published value of the index available at the Adjustment Date shall be used.</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Where the Payment Index is no longer published, the Buyer and the Supplier shall agree a fair and reasonable replacement that will have substantially the same effect.</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Pricing For Variations</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the process outlined in paragraph </w:t>
      </w:r>
      <w:r>
        <w:rPr>
          <w:rFonts w:ascii="Arial" w:eastAsia="Arial" w:hAnsi="Arial" w:cs="Arial"/>
          <w:sz w:val="24"/>
          <w:szCs w:val="24"/>
        </w:rPr>
        <w:t>24</w:t>
      </w:r>
      <w:r>
        <w:rPr>
          <w:rFonts w:ascii="Arial" w:eastAsia="Arial" w:hAnsi="Arial" w:cs="Arial"/>
          <w:color w:val="000000"/>
          <w:sz w:val="24"/>
          <w:szCs w:val="24"/>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is responsible for ensuring that a Data Vali</w:t>
      </w:r>
      <w:r>
        <w:rPr>
          <w:rFonts w:ascii="Arial" w:eastAsia="Arial" w:hAnsi="Arial" w:cs="Arial"/>
          <w:sz w:val="24"/>
          <w:szCs w:val="24"/>
        </w:rPr>
        <w:t xml:space="preserve">dation and </w:t>
      </w:r>
      <w:r>
        <w:rPr>
          <w:rFonts w:ascii="Arial" w:eastAsia="Arial" w:hAnsi="Arial" w:cs="Arial"/>
          <w:color w:val="000000"/>
          <w:sz w:val="24"/>
          <w:szCs w:val="24"/>
        </w:rPr>
        <w:t xml:space="preserve">Asset </w:t>
      </w:r>
      <w:r>
        <w:rPr>
          <w:rFonts w:ascii="Arial" w:eastAsia="Arial" w:hAnsi="Arial" w:cs="Arial"/>
          <w:sz w:val="24"/>
          <w:szCs w:val="24"/>
        </w:rPr>
        <w:t>Verification Audit</w:t>
      </w:r>
      <w:r>
        <w:rPr>
          <w:rFonts w:ascii="Arial" w:eastAsia="Arial" w:hAnsi="Arial" w:cs="Arial"/>
          <w:color w:val="000000"/>
          <w:sz w:val="24"/>
          <w:szCs w:val="24"/>
        </w:rPr>
        <w:t xml:space="preserve"> is undertaken and completed during the Mobilisation Period to verify the Due Diligence Information</w:t>
      </w:r>
      <w:r>
        <w:rPr>
          <w:rFonts w:ascii="Arial" w:eastAsia="Arial" w:hAnsi="Arial" w:cs="Arial"/>
          <w:sz w:val="24"/>
          <w:szCs w:val="24"/>
        </w:rPr>
        <w:t>.</w:t>
      </w:r>
      <w:r>
        <w:rPr>
          <w:rFonts w:ascii="Arial" w:eastAsia="Arial" w:hAnsi="Arial" w:cs="Arial"/>
          <w:color w:val="000000"/>
          <w:sz w:val="24"/>
          <w:szCs w:val="24"/>
        </w:rPr>
        <w:t xml:space="preserve"> Call-Off Pricing revisions for any / all inaccuracies in the Due Diligence Information identified outside of the Mobilisation Period are not permitted.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w:t>
      </w:r>
      <w:r>
        <w:rPr>
          <w:rFonts w:ascii="Arial" w:eastAsia="Arial" w:hAnsi="Arial" w:cs="Arial"/>
          <w:sz w:val="24"/>
          <w:szCs w:val="24"/>
        </w:rPr>
        <w:t>8 of the Core Terms</w:t>
      </w:r>
      <w:r>
        <w:rPr>
          <w:rFonts w:ascii="Arial" w:eastAsia="Arial" w:hAnsi="Arial" w:cs="Arial"/>
          <w:color w:val="000000"/>
          <w:sz w:val="24"/>
          <w:szCs w:val="24"/>
        </w:rPr>
        <w:t>, where er</w:t>
      </w:r>
      <w:r>
        <w:rPr>
          <w:rFonts w:ascii="Arial" w:eastAsia="Arial" w:hAnsi="Arial" w:cs="Arial"/>
          <w:sz w:val="24"/>
          <w:szCs w:val="24"/>
        </w:rPr>
        <w:t>rors,</w:t>
      </w:r>
      <w:r>
        <w:rPr>
          <w:rFonts w:ascii="Arial" w:eastAsia="Arial" w:hAnsi="Arial" w:cs="Arial"/>
          <w:color w:val="000000"/>
          <w:sz w:val="24"/>
          <w:szCs w:val="24"/>
        </w:rPr>
        <w:t xml:space="preserve"> inaccuracies or omissions in the Service or Asset data provided by the Buyer prior to signature of a Call-Off Contract are identified by the Supplier during the Call-Off Contract Mobilisation Period, the following shall apply: </w:t>
      </w:r>
    </w:p>
    <w:p w:rsidR="00B12AEE" w:rsidRDefault="006423FB">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B12AEE" w:rsidRDefault="006423FB">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B12AEE" w:rsidRDefault="006423FB">
      <w:pPr>
        <w:numPr>
          <w:ilvl w:val="3"/>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Where Services where no Framework Contract Pricing unit-of-measure rate applies are ordered under a Call-Off the Supplier may, using the Variation procedure, request an adjustment to the Call-Off Contract pricing where the Supplier </w:t>
      </w:r>
      <w:r>
        <w:rPr>
          <w:rFonts w:ascii="Arial" w:eastAsia="Arial" w:hAnsi="Arial" w:cs="Arial"/>
          <w:color w:val="000000"/>
          <w:sz w:val="24"/>
          <w:szCs w:val="24"/>
        </w:rPr>
        <w:lastRenderedPageBreak/>
        <w:t xml:space="preserve">can present written evidence that the Due Diligence Information provided by the Buyer prior to entering into the Call-Off Contract contained </w:t>
      </w:r>
      <w:r>
        <w:rPr>
          <w:rFonts w:ascii="Arial" w:eastAsia="Arial" w:hAnsi="Arial" w:cs="Arial"/>
          <w:sz w:val="24"/>
          <w:szCs w:val="24"/>
        </w:rPr>
        <w:t xml:space="preserve">errors, inaccuracies or omissions </w:t>
      </w:r>
      <w:r>
        <w:rPr>
          <w:rFonts w:ascii="Arial" w:eastAsia="Arial" w:hAnsi="Arial" w:cs="Arial"/>
          <w:color w:val="000000"/>
          <w:sz w:val="24"/>
          <w:szCs w:val="24"/>
        </w:rPr>
        <w:t xml:space="preserve">that led to incorrect pricing by the Supplier. </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Changes To Minimum / Living Wage</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Suppliers must include in their Impact Assessment evidence of the:</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Supplier Personnel affected by the Mandatory Wage Increase and the Services that they provide; </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affected Supplier Personnel’s current hourly rate of pay; and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number of hours worked by each of the affected Supplier Personnel.  </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sz w:val="24"/>
          <w:szCs w:val="24"/>
        </w:rPr>
        <w:t>It is the Buyer’s discretion</w:t>
      </w:r>
      <w:r>
        <w:rPr>
          <w:rFonts w:ascii="Arial" w:eastAsia="Arial" w:hAnsi="Arial" w:cs="Arial"/>
          <w:color w:val="000000"/>
          <w:sz w:val="24"/>
          <w:szCs w:val="24"/>
        </w:rPr>
        <w:t xml:space="preserve"> to accept the Variation request under this Paragraph 7 and must not accept any variation request that:</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exceeds the difference between the Indexation Rate and the current Mandatory Wage rate increase for each member of the Supplier Personnel affected by the Mandatory Wage increase;</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seeks to increases in the Charges which go beyond the Services affected by the Mandatory Wage increase; and </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Invoicing</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w:t>
      </w:r>
      <w:r>
        <w:rPr>
          <w:rFonts w:ascii="Arial" w:eastAsia="Arial" w:hAnsi="Arial" w:cs="Arial"/>
          <w:sz w:val="24"/>
          <w:szCs w:val="24"/>
        </w:rPr>
        <w:t>ing</w:t>
      </w:r>
      <w:r>
        <w:rPr>
          <w:rFonts w:ascii="Arial" w:eastAsia="Arial" w:hAnsi="Arial" w:cs="Arial"/>
          <w:color w:val="000000"/>
          <w:sz w:val="24"/>
          <w:szCs w:val="24"/>
        </w:rPr>
        <w:t xml:space="preserve"> and payments) the Supplier shall ensure that each invoice it prepares in relation to the Charges:</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Deliverables to which the invoice relates;</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separately itemises any expense or taxes said to be payable by the Buyer; and</w:t>
      </w:r>
    </w:p>
    <w:p w:rsidR="00B12AEE" w:rsidRDefault="006423FB">
      <w:pPr>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E</w:t>
      </w:r>
      <w:r>
        <w:rPr>
          <w:rFonts w:ascii="Arial" w:eastAsia="Arial" w:hAnsi="Arial" w:cs="Arial"/>
          <w:b/>
          <w:sz w:val="24"/>
          <w:szCs w:val="24"/>
        </w:rPr>
        <w:t>xtension Period</w:t>
      </w:r>
    </w:p>
    <w:p w:rsidR="00B12AEE" w:rsidRDefault="006423FB">
      <w:pPr>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B12AEE" w:rsidRDefault="00B12AEE">
      <w:pPr>
        <w:pBdr>
          <w:top w:val="nil"/>
          <w:left w:val="nil"/>
          <w:bottom w:val="nil"/>
          <w:right w:val="nil"/>
          <w:between w:val="nil"/>
        </w:pBdr>
        <w:spacing w:line="240" w:lineRule="auto"/>
        <w:ind w:left="0" w:hanging="2"/>
        <w:rPr>
          <w:rFonts w:ascii="Arial" w:eastAsia="Arial" w:hAnsi="Arial" w:cs="Arial"/>
          <w:sz w:val="24"/>
          <w:szCs w:val="24"/>
        </w:rPr>
      </w:pPr>
    </w:p>
    <w:p w:rsidR="00B12AEE" w:rsidRDefault="006423FB">
      <w:pPr>
        <w:keepNext/>
        <w:numPr>
          <w:ilvl w:val="0"/>
          <w:numId w:val="2"/>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Payments Due On Termination</w:t>
      </w:r>
    </w:p>
    <w:p w:rsidR="00B12AEE" w:rsidRDefault="006423FB">
      <w:pPr>
        <w:keepNext/>
        <w:numPr>
          <w:ilvl w:val="1"/>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Upon termination of the Contract by the Buyer in accordance with clause 10.</w:t>
      </w:r>
      <w:r>
        <w:rPr>
          <w:rFonts w:ascii="Arial" w:eastAsia="Arial" w:hAnsi="Arial" w:cs="Arial"/>
          <w:sz w:val="24"/>
          <w:szCs w:val="24"/>
        </w:rPr>
        <w:t>2</w:t>
      </w:r>
      <w:r>
        <w:rPr>
          <w:rFonts w:ascii="Arial" w:eastAsia="Arial" w:hAnsi="Arial" w:cs="Arial"/>
          <w:color w:val="000000"/>
          <w:sz w:val="24"/>
          <w:szCs w:val="24"/>
        </w:rPr>
        <w:t>.2 Core Terms (and for the avoidance of doubt including partial termination under 10.7), the amount that is due for payment will be as set out below:</w:t>
      </w:r>
    </w:p>
    <w:p w:rsidR="00B12AEE" w:rsidRDefault="006423FB">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Charges for Deliverables which have been properly provided by the Supplier in accordance with the terms of the Contract; </w:t>
      </w:r>
    </w:p>
    <w:p w:rsidR="00B12AEE" w:rsidRDefault="006423FB">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proven direct costs incurred by the Supplier for removing Supplier Equipment and/or demobilising;</w:t>
      </w:r>
    </w:p>
    <w:p w:rsidR="00B12AEE" w:rsidRDefault="006423FB">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reasonable and proved unrecovered investment costs directly applicable to the provision of the Deliverables, if applicable; and</w:t>
      </w:r>
    </w:p>
    <w:p w:rsidR="00B12AEE" w:rsidRDefault="006423FB">
      <w:pPr>
        <w:keepNext/>
        <w:numPr>
          <w:ilvl w:val="2"/>
          <w:numId w:val="2"/>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other Costs reasonably incurred in expectation of completing the whole of the Services and any amounts retained by the Supplier,</w:t>
      </w:r>
    </w:p>
    <w:p w:rsidR="00B12AEE" w:rsidRDefault="006423FB">
      <w:pPr>
        <w:spacing w:after="0" w:line="240" w:lineRule="auto"/>
        <w:ind w:left="0" w:hanging="2"/>
        <w:jc w:val="left"/>
        <w:rPr>
          <w:rFonts w:ascii="Arial" w:eastAsia="Arial" w:hAnsi="Arial" w:cs="Arial"/>
          <w:sz w:val="24"/>
          <w:szCs w:val="24"/>
        </w:rPr>
        <w:sectPr w:rsidR="00B12AEE">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6" w:footer="706" w:gutter="0"/>
          <w:pgNumType w:start="1"/>
          <w:cols w:space="720"/>
          <w:titlePg/>
        </w:sectPr>
      </w:pPr>
      <w:r>
        <w:rPr>
          <w:rFonts w:ascii="Arial" w:eastAsia="Arial" w:hAnsi="Arial" w:cs="Arial"/>
          <w:color w:val="000000"/>
          <w:sz w:val="24"/>
          <w:szCs w:val="24"/>
        </w:rPr>
        <w:t>provided that such amounts shall only be recoverable if and to the extent that the Supplier has used all reasonable endeavours to minimise them.</w:t>
      </w:r>
    </w:p>
    <w:p w:rsidR="00B12AEE" w:rsidRDefault="006423FB">
      <w:pPr>
        <w:pBdr>
          <w:top w:val="nil"/>
          <w:left w:val="nil"/>
          <w:bottom w:val="nil"/>
          <w:right w:val="nil"/>
          <w:between w:val="nil"/>
        </w:pBdr>
        <w:tabs>
          <w:tab w:val="center" w:pos="4153"/>
          <w:tab w:val="right" w:pos="8306"/>
          <w:tab w:val="center" w:pos="4513"/>
          <w:tab w:val="right" w:pos="9026"/>
        </w:tabs>
        <w:spacing w:after="0" w:line="240" w:lineRule="auto"/>
        <w:ind w:left="2" w:hanging="4"/>
        <w:jc w:val="left"/>
        <w:rPr>
          <w:rFonts w:ascii="Arial" w:eastAsia="Arial" w:hAnsi="Arial" w:cs="Arial"/>
          <w:b/>
          <w:smallCaps/>
          <w:color w:val="000000"/>
          <w:sz w:val="36"/>
          <w:szCs w:val="36"/>
        </w:rPr>
      </w:pPr>
      <w:bookmarkStart w:id="13" w:name="_heading=h.1ksv4uv" w:colFirst="0" w:colLast="0"/>
      <w:bookmarkEnd w:id="13"/>
      <w:r>
        <w:rPr>
          <w:rFonts w:ascii="Arial" w:eastAsia="Arial" w:hAnsi="Arial" w:cs="Arial"/>
          <w:b/>
          <w:smallCaps/>
          <w:color w:val="000000"/>
          <w:sz w:val="36"/>
          <w:szCs w:val="36"/>
        </w:rPr>
        <w:lastRenderedPageBreak/>
        <w:t>P</w:t>
      </w:r>
      <w:r>
        <w:rPr>
          <w:rFonts w:ascii="Arial" w:eastAsia="Arial" w:hAnsi="Arial" w:cs="Arial"/>
          <w:b/>
          <w:sz w:val="36"/>
          <w:szCs w:val="36"/>
        </w:rPr>
        <w:t>art</w:t>
      </w:r>
      <w:r>
        <w:rPr>
          <w:rFonts w:ascii="Arial" w:eastAsia="Arial" w:hAnsi="Arial" w:cs="Arial"/>
          <w:sz w:val="36"/>
          <w:szCs w:val="36"/>
        </w:rPr>
        <w:t xml:space="preserve"> </w:t>
      </w:r>
      <w:r>
        <w:rPr>
          <w:rFonts w:ascii="Arial" w:eastAsia="Arial" w:hAnsi="Arial" w:cs="Arial"/>
          <w:b/>
          <w:smallCaps/>
          <w:color w:val="000000"/>
          <w:sz w:val="36"/>
          <w:szCs w:val="36"/>
        </w:rPr>
        <w:t xml:space="preserve">B - </w:t>
      </w:r>
      <w:r>
        <w:rPr>
          <w:rFonts w:ascii="Arial" w:eastAsia="Arial" w:hAnsi="Arial" w:cs="Arial"/>
          <w:b/>
          <w:sz w:val="36"/>
          <w:szCs w:val="36"/>
        </w:rPr>
        <w:t>Target Cost pricing</w:t>
      </w:r>
    </w:p>
    <w:p w:rsidR="00B12AEE" w:rsidRDefault="00B12AEE">
      <w:pPr>
        <w:pBdr>
          <w:top w:val="nil"/>
          <w:left w:val="nil"/>
          <w:bottom w:val="nil"/>
          <w:right w:val="nil"/>
          <w:between w:val="nil"/>
        </w:pBdr>
        <w:tabs>
          <w:tab w:val="center" w:pos="4153"/>
          <w:tab w:val="right" w:pos="8306"/>
          <w:tab w:val="center" w:pos="4513"/>
          <w:tab w:val="right" w:pos="9026"/>
        </w:tabs>
        <w:spacing w:after="0" w:line="240" w:lineRule="auto"/>
        <w:ind w:left="0" w:hanging="2"/>
        <w:jc w:val="left"/>
        <w:rPr>
          <w:rFonts w:ascii="Arial" w:eastAsia="Arial" w:hAnsi="Arial" w:cs="Arial"/>
          <w:color w:val="000000"/>
          <w:sz w:val="24"/>
          <w:szCs w:val="24"/>
        </w:rPr>
      </w:pPr>
    </w:p>
    <w:p w:rsidR="00B12AEE" w:rsidRDefault="00B12AEE">
      <w:pPr>
        <w:pBdr>
          <w:top w:val="nil"/>
          <w:left w:val="nil"/>
          <w:bottom w:val="nil"/>
          <w:right w:val="nil"/>
          <w:between w:val="nil"/>
        </w:pBdr>
        <w:tabs>
          <w:tab w:val="center" w:pos="4153"/>
          <w:tab w:val="right" w:pos="8306"/>
          <w:tab w:val="center" w:pos="4513"/>
          <w:tab w:val="right" w:pos="9026"/>
        </w:tabs>
        <w:spacing w:after="0" w:line="240" w:lineRule="auto"/>
        <w:ind w:left="0" w:hanging="2"/>
        <w:jc w:val="center"/>
        <w:rPr>
          <w:rFonts w:ascii="Arial" w:eastAsia="Arial" w:hAnsi="Arial" w:cs="Arial"/>
          <w:color w:val="000000"/>
          <w:sz w:val="24"/>
          <w:szCs w:val="24"/>
        </w:rPr>
      </w:pPr>
    </w:p>
    <w:p w:rsidR="00B12AEE" w:rsidRDefault="006423FB">
      <w:pPr>
        <w:keepNext/>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This part of this schedule shall apply where the target cost pricing option is selected in the Order Form</w:t>
      </w:r>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Calculation Of The Charges</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The Target Cost Charges shall be: </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calculated on the basis of the rates and prices specified in the Target Cost Pricing Matrix as submitted at Further Competition; </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in respect of Service Months for the costs incurred by the Supplier of its obligations under the Call-Off Contract; and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paid by way of Monthly Payments which shall be calculated in accordance with paragraph 2 below.</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addition to the target cost Charges, the Supplier shall be entitled to raise an invoice in each Service Month, for Work Orders it has completed in the previous Service Month and such Charges shall be calculated in accordance with paragraph 5 below.</w:t>
      </w:r>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Costs</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only be entitled to recover costs under this paragraph in respect of:</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employment costs of people employed by it;</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direct costs of materials supplied by it in connection with provision of the Deliverables;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deliverables which are sub-contracted; and </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any equipment required for the provision of the Deliverables (including any amounts paid for hired equipment and an amount for the use of equipment owned by the Supplier which is the amount the Supplier would have paid if the equipment had been hired).</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not be entitled to recover, as part of its cost assessment (or recover on any other basis) any of the following:</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are not justified by the Supplier's accounts and records;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costs which should not have been paid to a Subcontractor or the Supplier in accordance with the Call-Off Contract;</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cost of materials or resources not used to provide the Deliverables;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amounts in respect of events which the supplier is required to insure under this Call-Off Contract or other amounts paid by the Supplier to insurers; </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4" w:name="_heading=h.2jxsxqh" w:colFirst="0" w:colLast="0"/>
      <w:bookmarkEnd w:id="14"/>
      <w:r>
        <w:rPr>
          <w:rFonts w:ascii="Arial" w:eastAsia="Arial" w:hAnsi="Arial" w:cs="Arial"/>
          <w:color w:val="000000"/>
          <w:sz w:val="24"/>
          <w:szCs w:val="24"/>
        </w:rPr>
        <w:t>costs for preparation for and conduct of formal dispute resolution proceedings.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5" w:name="_heading=h.44sinio" w:colFirst="0" w:colLast="0"/>
      <w:bookmarkEnd w:id="15"/>
      <w:r>
        <w:rPr>
          <w:rFonts w:ascii="Arial" w:eastAsia="Arial" w:hAnsi="Arial" w:cs="Arial"/>
          <w:color w:val="000000"/>
          <w:sz w:val="24"/>
          <w:szCs w:val="24"/>
        </w:rPr>
        <w:t>works completed in month</w:t>
      </w:r>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T</w:t>
      </w:r>
      <w:r>
        <w:rPr>
          <w:rFonts w:ascii="Arial" w:eastAsia="Arial" w:hAnsi="Arial" w:cs="Arial"/>
          <w:b/>
          <w:sz w:val="24"/>
          <w:szCs w:val="24"/>
        </w:rPr>
        <w:t>arget Price</w:t>
      </w:r>
    </w:p>
    <w:p w:rsidR="00B12AEE" w:rsidRDefault="00670E8A">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sidRPr="00670E8A">
        <w:rPr>
          <w:rFonts w:ascii="Arial" w:hAnsi="Arial" w:cs="Arial"/>
          <w:color w:val="000000"/>
          <w:sz w:val="24"/>
          <w:szCs w:val="24"/>
        </w:rPr>
        <w:t>The Target Price shall be as set out in the Target Price Pricing Matrix as submitted at Further Competition.</w:t>
      </w:r>
      <w:r w:rsidRPr="00670E8A">
        <w:rPr>
          <w:rFonts w:ascii="docs-Calibri" w:hAnsi="docs-Calibri"/>
          <w:color w:val="000000"/>
          <w:sz w:val="23"/>
          <w:szCs w:val="23"/>
        </w:rPr>
        <w:t xml:space="preserve"> </w:t>
      </w:r>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sz w:val="24"/>
          <w:szCs w:val="24"/>
        </w:rPr>
        <w:t>Payment Of Target Cost And Target Price</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In respect of the Deliverables provided on a target price basis in a Service Month "n":</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calculate the amount claimed in respect of such Service Month which shall include:</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costs incurred for such Deliverables in the Service Month;</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KPI Credit due in respect of the Deliverables provided in the Previous Service Month set off against the Earn Back Amount due (if applicable) for the current Service Month (or where the Order Form states that KPIs are not applicable then PA</w:t>
      </w:r>
      <w:r>
        <w:rPr>
          <w:rFonts w:ascii="Arial" w:eastAsia="Arial" w:hAnsi="Arial" w:cs="Arial"/>
          <w:color w:val="000000"/>
          <w:sz w:val="24"/>
          <w:szCs w:val="24"/>
          <w:vertAlign w:val="subscript"/>
        </w:rPr>
        <w:t>n-1</w:t>
      </w:r>
      <w:r>
        <w:rPr>
          <w:rFonts w:ascii="Arial" w:eastAsia="Arial" w:hAnsi="Arial" w:cs="Arial"/>
          <w:color w:val="000000"/>
          <w:sz w:val="24"/>
          <w:szCs w:val="24"/>
        </w:rPr>
        <w:t xml:space="preserve"> shall be deemed to be £0).</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submit a claim to the Buyer for the amount claimed within 14 days following the end of the Service Month n (any costs not claimed by such date shall not be eligible for claim in that Service Month and instead should be submitted in the following Service Month);</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Supplier shall state the basis on which all amounts claimed are calculated and provide all such evidence as the Buyer may request from time to time and without limit the Supplier shall provide:</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of hours worked;</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proof that payments have been made;</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evidence that the costs correspond with the Deliverables provided;</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equivalent evidence for any costs incurred by any Subcontractors; </w:t>
      </w:r>
    </w:p>
    <w:p w:rsidR="00B12AEE" w:rsidRDefault="006423FB">
      <w:pPr>
        <w:numPr>
          <w:ilvl w:val="3"/>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such other records as stated in the Order Fo</w:t>
      </w:r>
      <w:bookmarkStart w:id="16" w:name="_GoBack"/>
      <w:bookmarkEnd w:id="16"/>
      <w:r>
        <w:rPr>
          <w:rFonts w:ascii="Arial" w:eastAsia="Arial" w:hAnsi="Arial" w:cs="Arial"/>
          <w:color w:val="000000"/>
          <w:sz w:val="24"/>
          <w:szCs w:val="24"/>
        </w:rPr>
        <w:t>rm.</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7" w:name="_heading=h.26in1rg" w:colFirst="0" w:colLast="0"/>
      <w:bookmarkEnd w:id="17"/>
      <w:r>
        <w:rPr>
          <w:rFonts w:ascii="Arial" w:eastAsia="Arial" w:hAnsi="Arial" w:cs="Arial"/>
          <w:color w:val="000000"/>
          <w:sz w:val="24"/>
          <w:szCs w:val="24"/>
        </w:rPr>
        <w:lastRenderedPageBreak/>
        <w:t>all costs claimed by the Supplier shall be calculated at open market or competitively tendered prices with deductions for all discounts, rebates and taxes which can be recovered;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Buyer shall not withhold payment of a claimed amount unless it has notified the Supplier in accordance with paragraph 4.1.4 above; and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maximum amount which can be claimed by the Supplier shall be capped at the Target Price; and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bookmarkStart w:id="18" w:name="_heading=h.lnxbz9" w:colFirst="0" w:colLast="0"/>
      <w:bookmarkEnd w:id="18"/>
      <w:r>
        <w:rPr>
          <w:rFonts w:ascii="Arial" w:eastAsia="Arial" w:hAnsi="Arial" w:cs="Arial"/>
          <w:color w:val="000000"/>
          <w:sz w:val="24"/>
          <w:szCs w:val="24"/>
        </w:rPr>
        <w:t>where the actual costs incurred are less than the agreed Target Cost than the actual price paid shall be assessed in accordance with paragraph 4.2 below.</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Following the completion of Deliverables provided on a target price basis, the Buyer shall assess the total price to be paid and it shall be calculated in accordance with the following table:</w:t>
      </w:r>
    </w:p>
    <w:p w:rsidR="00B12AEE" w:rsidRDefault="006423FB">
      <w:p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b/>
          <w:i/>
          <w:color w:val="000000"/>
          <w:sz w:val="24"/>
          <w:szCs w:val="24"/>
          <w:highlight w:val="yellow"/>
        </w:rPr>
        <w:t>Customer to amend table based on requirements, this may include adding or deleting rows to amend share lines and provide cap on pain / gain</w:t>
      </w:r>
    </w:p>
    <w:tbl>
      <w:tblPr>
        <w:tblStyle w:val="af1"/>
        <w:tblW w:w="823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17"/>
        <w:gridCol w:w="4117"/>
      </w:tblGrid>
      <w:tr w:rsidR="00B12AEE">
        <w:tc>
          <w:tcPr>
            <w:tcW w:w="4117" w:type="dxa"/>
          </w:tcPr>
          <w:p w:rsidR="00B12AEE" w:rsidRDefault="006423FB">
            <w:pPr>
              <w:keepNext/>
              <w:spacing w:after="120" w:line="240" w:lineRule="auto"/>
              <w:ind w:left="0" w:hanging="2"/>
              <w:rPr>
                <w:rFonts w:ascii="Arial" w:eastAsia="Arial" w:hAnsi="Arial" w:cs="Arial"/>
                <w:sz w:val="24"/>
                <w:szCs w:val="24"/>
              </w:rPr>
            </w:pPr>
            <w:r>
              <w:rPr>
                <w:rFonts w:ascii="Arial" w:eastAsia="Arial" w:hAnsi="Arial" w:cs="Arial"/>
                <w:sz w:val="24"/>
                <w:szCs w:val="24"/>
              </w:rPr>
              <w:t>Costs actually incurred</w:t>
            </w:r>
          </w:p>
        </w:tc>
        <w:tc>
          <w:tcPr>
            <w:tcW w:w="4117" w:type="dxa"/>
          </w:tcPr>
          <w:p w:rsidR="00B12AEE" w:rsidRDefault="006423FB">
            <w:pPr>
              <w:spacing w:after="120" w:line="240" w:lineRule="auto"/>
              <w:ind w:left="0" w:hanging="2"/>
              <w:rPr>
                <w:rFonts w:ascii="Arial" w:eastAsia="Arial" w:hAnsi="Arial" w:cs="Arial"/>
                <w:sz w:val="24"/>
                <w:szCs w:val="24"/>
              </w:rPr>
            </w:pPr>
            <w:r>
              <w:rPr>
                <w:rFonts w:ascii="Arial" w:eastAsia="Arial" w:hAnsi="Arial" w:cs="Arial"/>
                <w:sz w:val="24"/>
                <w:szCs w:val="24"/>
              </w:rPr>
              <w:t>Price to be paid to the Supplier</w:t>
            </w:r>
          </w:p>
        </w:tc>
      </w:tr>
      <w:tr w:rsidR="00B12AEE">
        <w:tc>
          <w:tcPr>
            <w:tcW w:w="4117" w:type="dxa"/>
          </w:tcPr>
          <w:p w:rsidR="00B12AEE" w:rsidRDefault="006423FB">
            <w:pPr>
              <w:spacing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Greater than 125% of the Target Cost and less than [</w:t>
            </w:r>
            <w:r>
              <w:rPr>
                <w:rFonts w:ascii="Arial" w:eastAsia="Arial" w:hAnsi="Arial" w:cs="Arial"/>
                <w:i/>
                <w:color w:val="000000"/>
                <w:sz w:val="24"/>
                <w:szCs w:val="24"/>
                <w:highlight w:val="yellow"/>
              </w:rPr>
              <w:t>insert percentage e.g. 125</w:t>
            </w:r>
            <w:r>
              <w:rPr>
                <w:rFonts w:ascii="Arial" w:eastAsia="Arial" w:hAnsi="Arial" w:cs="Arial"/>
                <w:color w:val="000000"/>
                <w:sz w:val="24"/>
                <w:szCs w:val="24"/>
                <w:highlight w:val="yellow"/>
              </w:rPr>
              <w:t>%] of the Target Cost</w:t>
            </w:r>
          </w:p>
        </w:tc>
        <w:tc>
          <w:tcPr>
            <w:tcW w:w="4117" w:type="dxa"/>
          </w:tcPr>
          <w:p w:rsidR="00B12AEE" w:rsidRDefault="006423FB">
            <w:pPr>
              <w:spacing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Target Price plus [insert percentage e.g. 10%] of the difference between the Target Cost and the actual costs.</w:t>
            </w:r>
          </w:p>
        </w:tc>
      </w:tr>
      <w:tr w:rsidR="00B12AEE">
        <w:tc>
          <w:tcPr>
            <w:tcW w:w="4117" w:type="dxa"/>
          </w:tcPr>
          <w:p w:rsidR="00B12AEE" w:rsidRDefault="006423FB">
            <w:pPr>
              <w:spacing w:after="120" w:line="240" w:lineRule="auto"/>
              <w:ind w:left="0" w:hanging="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Greater than 100% of the Target Cost and less than [</w:t>
            </w:r>
            <w:r>
              <w:rPr>
                <w:rFonts w:ascii="Arial" w:eastAsia="Arial" w:hAnsi="Arial" w:cs="Arial"/>
                <w:i/>
                <w:color w:val="000000"/>
                <w:sz w:val="24"/>
                <w:szCs w:val="24"/>
                <w:highlight w:val="yellow"/>
              </w:rPr>
              <w:t>insert percentage e.g. 125</w:t>
            </w:r>
            <w:r>
              <w:rPr>
                <w:rFonts w:ascii="Arial" w:eastAsia="Arial" w:hAnsi="Arial" w:cs="Arial"/>
                <w:color w:val="000000"/>
                <w:sz w:val="24"/>
                <w:szCs w:val="24"/>
                <w:highlight w:val="yellow"/>
              </w:rPr>
              <w:t>]% of the Target Cost</w:t>
            </w:r>
          </w:p>
        </w:tc>
        <w:tc>
          <w:tcPr>
            <w:tcW w:w="4117" w:type="dxa"/>
          </w:tcPr>
          <w:p w:rsidR="00B12AEE" w:rsidRDefault="006423FB">
            <w:pPr>
              <w:spacing w:after="120" w:line="240" w:lineRule="auto"/>
              <w:ind w:left="0" w:hanging="2"/>
              <w:jc w:val="left"/>
              <w:rPr>
                <w:rFonts w:ascii="Arial" w:eastAsia="Arial" w:hAnsi="Arial" w:cs="Arial"/>
                <w:color w:val="000000"/>
                <w:sz w:val="24"/>
                <w:szCs w:val="24"/>
              </w:rPr>
            </w:pPr>
            <w:r>
              <w:rPr>
                <w:rFonts w:ascii="Arial" w:eastAsia="Arial" w:hAnsi="Arial" w:cs="Arial"/>
                <w:color w:val="000000"/>
                <w:sz w:val="24"/>
                <w:szCs w:val="24"/>
                <w:highlight w:val="yellow"/>
              </w:rPr>
              <w:t>Target Price plus [insert percentage e.g. 50%] of the difference between the Target Cost and the actual costs.</w:t>
            </w:r>
          </w:p>
        </w:tc>
      </w:tr>
    </w:tbl>
    <w:p w:rsidR="00B12AEE" w:rsidRDefault="00B12AEE">
      <w:pPr>
        <w:keepNext/>
        <w:pBdr>
          <w:top w:val="nil"/>
          <w:left w:val="nil"/>
          <w:bottom w:val="nil"/>
          <w:right w:val="nil"/>
          <w:between w:val="nil"/>
        </w:pBdr>
        <w:spacing w:line="240" w:lineRule="auto"/>
        <w:ind w:left="0" w:hanging="2"/>
        <w:rPr>
          <w:rFonts w:ascii="Arial" w:eastAsia="Arial" w:hAnsi="Arial" w:cs="Arial"/>
          <w:b/>
          <w:color w:val="000000"/>
          <w:sz w:val="24"/>
          <w:szCs w:val="24"/>
        </w:rPr>
      </w:pPr>
      <w:bookmarkStart w:id="19" w:name="_heading=h.35nkun2" w:colFirst="0" w:colLast="0"/>
      <w:bookmarkEnd w:id="19"/>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W</w:t>
      </w:r>
      <w:r>
        <w:rPr>
          <w:rFonts w:ascii="Arial" w:eastAsia="Arial" w:hAnsi="Arial" w:cs="Arial"/>
          <w:b/>
          <w:sz w:val="24"/>
          <w:szCs w:val="24"/>
        </w:rPr>
        <w:t>ork Orders</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The price for Work Orders shall be calculated using the mechanism set out in Schedule 25 (Billable Works &amp; Projects).</w:t>
      </w:r>
    </w:p>
    <w:p w:rsidR="00B12AEE" w:rsidRDefault="006423FB">
      <w:pPr>
        <w:keepNext/>
        <w:numPr>
          <w:ilvl w:val="0"/>
          <w:numId w:val="1"/>
        </w:numPr>
        <w:pBdr>
          <w:top w:val="nil"/>
          <w:left w:val="nil"/>
          <w:bottom w:val="nil"/>
          <w:right w:val="nil"/>
          <w:between w:val="nil"/>
        </w:pBdr>
        <w:spacing w:line="240" w:lineRule="auto"/>
        <w:ind w:left="0" w:hanging="2"/>
        <w:rPr>
          <w:rFonts w:ascii="Arial" w:eastAsia="Arial" w:hAnsi="Arial" w:cs="Arial"/>
          <w:b/>
          <w:color w:val="000000"/>
          <w:sz w:val="24"/>
          <w:szCs w:val="24"/>
        </w:rPr>
      </w:pPr>
      <w:r>
        <w:rPr>
          <w:rFonts w:ascii="Arial" w:eastAsia="Arial" w:hAnsi="Arial" w:cs="Arial"/>
          <w:b/>
          <w:color w:val="000000"/>
          <w:sz w:val="24"/>
          <w:szCs w:val="24"/>
        </w:rPr>
        <w:t>I</w:t>
      </w:r>
      <w:r>
        <w:rPr>
          <w:rFonts w:ascii="Arial" w:eastAsia="Arial" w:hAnsi="Arial" w:cs="Arial"/>
          <w:b/>
          <w:sz w:val="24"/>
          <w:szCs w:val="24"/>
        </w:rPr>
        <w:t>nvoicing</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 xml:space="preserve">In addition to its obligations in </w:t>
      </w:r>
      <w:r>
        <w:rPr>
          <w:rFonts w:ascii="Arial" w:eastAsia="Arial" w:hAnsi="Arial" w:cs="Arial"/>
          <w:sz w:val="24"/>
          <w:szCs w:val="24"/>
        </w:rPr>
        <w:t>C</w:t>
      </w:r>
      <w:r>
        <w:rPr>
          <w:rFonts w:ascii="Arial" w:eastAsia="Arial" w:hAnsi="Arial" w:cs="Arial"/>
          <w:color w:val="000000"/>
          <w:sz w:val="24"/>
          <w:szCs w:val="24"/>
        </w:rPr>
        <w:t>lause 4 in the Core Terms (Price and payments) the Supplier shall ensure that each invoice it prepares in relation to the Charges: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period to which the invoice relates;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lastRenderedPageBreak/>
        <w:t>specifies the Deliverables to which the invoice relates;</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sets out the calculations used to reach the amount of the Charges that are being invoiced;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separately itemises any expense or taxes said to be payable by the Buyer; and</w:t>
      </w:r>
    </w:p>
    <w:p w:rsidR="00B12AEE" w:rsidRDefault="006423FB">
      <w:pPr>
        <w:numPr>
          <w:ilvl w:val="2"/>
          <w:numId w:val="1"/>
        </w:numPr>
        <w:pBdr>
          <w:top w:val="nil"/>
          <w:left w:val="nil"/>
          <w:bottom w:val="nil"/>
          <w:right w:val="nil"/>
          <w:between w:val="nil"/>
        </w:pBdr>
        <w:spacing w:line="240" w:lineRule="auto"/>
        <w:ind w:left="0" w:hanging="2"/>
        <w:rPr>
          <w:rFonts w:ascii="Arial" w:eastAsia="Arial" w:hAnsi="Arial" w:cs="Arial"/>
          <w:color w:val="000000"/>
          <w:sz w:val="24"/>
          <w:szCs w:val="24"/>
        </w:rPr>
      </w:pPr>
      <w:r>
        <w:rPr>
          <w:rFonts w:ascii="Arial" w:eastAsia="Arial" w:hAnsi="Arial" w:cs="Arial"/>
          <w:color w:val="000000"/>
          <w:sz w:val="24"/>
          <w:szCs w:val="24"/>
        </w:rPr>
        <w:t>specifies the Supplier's VAT code.</w:t>
      </w:r>
    </w:p>
    <w:p w:rsidR="00B12AEE" w:rsidRDefault="006423FB">
      <w:pPr>
        <w:numPr>
          <w:ilvl w:val="1"/>
          <w:numId w:val="1"/>
        </w:numPr>
        <w:pBdr>
          <w:top w:val="nil"/>
          <w:left w:val="nil"/>
          <w:bottom w:val="nil"/>
          <w:right w:val="nil"/>
          <w:between w:val="nil"/>
        </w:pBdr>
        <w:spacing w:line="240" w:lineRule="auto"/>
        <w:ind w:left="0" w:hanging="2"/>
        <w:rPr>
          <w:rFonts w:ascii="Arial" w:eastAsia="Arial" w:hAnsi="Arial" w:cs="Arial"/>
          <w:color w:val="000000"/>
          <w:sz w:val="24"/>
          <w:szCs w:val="24"/>
        </w:rPr>
        <w:sectPr w:rsidR="00B12AEE">
          <w:pgSz w:w="11909" w:h="16834"/>
          <w:pgMar w:top="1440" w:right="1440" w:bottom="1440" w:left="1440" w:header="706" w:footer="706" w:gutter="0"/>
          <w:cols w:space="720"/>
          <w:titlePg/>
        </w:sectPr>
      </w:pPr>
      <w:bookmarkStart w:id="20" w:name="_heading=h.3j2qqm3" w:colFirst="0" w:colLast="0"/>
      <w:bookmarkEnd w:id="20"/>
      <w:r>
        <w:rPr>
          <w:rFonts w:ascii="Arial" w:eastAsia="Arial" w:hAnsi="Arial" w:cs="Arial"/>
          <w:color w:val="000000"/>
          <w:sz w:val="24"/>
          <w:szCs w:val="24"/>
        </w:rP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B12AEE" w:rsidRDefault="00B12AEE">
      <w:pPr>
        <w:pBdr>
          <w:top w:val="nil"/>
          <w:left w:val="nil"/>
          <w:bottom w:val="nil"/>
          <w:right w:val="nil"/>
          <w:between w:val="nil"/>
        </w:pBdr>
        <w:spacing w:line="240" w:lineRule="auto"/>
        <w:ind w:left="0" w:hanging="2"/>
        <w:jc w:val="center"/>
        <w:rPr>
          <w:rFonts w:ascii="Arial" w:eastAsia="Arial" w:hAnsi="Arial" w:cs="Arial"/>
          <w:sz w:val="24"/>
          <w:szCs w:val="24"/>
        </w:rPr>
      </w:pPr>
    </w:p>
    <w:p w:rsidR="00B12AEE" w:rsidRDefault="006423FB">
      <w:pPr>
        <w:ind w:left="0" w:hanging="2"/>
        <w:rPr>
          <w:rFonts w:ascii="Arial" w:eastAsia="Arial" w:hAnsi="Arial" w:cs="Arial"/>
          <w:sz w:val="24"/>
          <w:szCs w:val="24"/>
        </w:rPr>
      </w:pPr>
      <w:r>
        <w:rPr>
          <w:rFonts w:ascii="Arial" w:eastAsia="Arial" w:hAnsi="Arial" w:cs="Arial"/>
          <w:b/>
          <w:sz w:val="24"/>
          <w:szCs w:val="24"/>
        </w:rPr>
        <w:t>Annex 1 – Further Competition Pricing Matrix Principles</w:t>
      </w:r>
    </w:p>
    <w:p w:rsidR="00B12AEE" w:rsidRDefault="00B12AEE">
      <w:pPr>
        <w:pBdr>
          <w:top w:val="nil"/>
          <w:left w:val="nil"/>
          <w:bottom w:val="nil"/>
          <w:right w:val="nil"/>
          <w:between w:val="nil"/>
        </w:pBdr>
        <w:spacing w:line="240" w:lineRule="auto"/>
        <w:ind w:left="0" w:hanging="2"/>
        <w:jc w:val="center"/>
        <w:rPr>
          <w:rFonts w:ascii="Arial" w:eastAsia="Arial" w:hAnsi="Arial" w:cs="Arial"/>
          <w:sz w:val="24"/>
          <w:szCs w:val="24"/>
        </w:rPr>
      </w:pPr>
    </w:p>
    <w:p w:rsidR="00B12AEE" w:rsidRDefault="006423FB">
      <w:pPr>
        <w:tabs>
          <w:tab w:val="left" w:pos="756"/>
        </w:tabs>
        <w:ind w:left="0" w:hanging="2"/>
        <w:rPr>
          <w:rFonts w:ascii="Arial" w:eastAsia="Arial" w:hAnsi="Arial" w:cs="Arial"/>
          <w:sz w:val="24"/>
          <w:szCs w:val="24"/>
        </w:rPr>
      </w:pPr>
      <w:bookmarkStart w:id="21" w:name="_heading=h.3rdcrjn" w:colFirst="0" w:colLast="0"/>
      <w:bookmarkEnd w:id="21"/>
      <w:r>
        <w:rPr>
          <w:rFonts w:ascii="Arial" w:eastAsia="Arial" w:hAnsi="Arial" w:cs="Arial"/>
          <w:noProof/>
          <w:sz w:val="24"/>
          <w:szCs w:val="24"/>
          <w:lang w:eastAsia="en-GB"/>
        </w:rPr>
        <w:drawing>
          <wp:inline distT="0" distB="0" distL="0" distR="0">
            <wp:extent cx="9067800" cy="3440748"/>
            <wp:effectExtent l="0" t="0" r="0" b="0"/>
            <wp:docPr id="13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l="646" r="646"/>
                    <a:stretch>
                      <a:fillRect/>
                    </a:stretch>
                  </pic:blipFill>
                  <pic:spPr>
                    <a:xfrm>
                      <a:off x="0" y="0"/>
                      <a:ext cx="9067800" cy="3440748"/>
                    </a:xfrm>
                    <a:prstGeom prst="rect">
                      <a:avLst/>
                    </a:prstGeom>
                    <a:ln/>
                  </pic:spPr>
                </pic:pic>
              </a:graphicData>
            </a:graphic>
          </wp:inline>
        </w:drawing>
      </w:r>
    </w:p>
    <w:sectPr w:rsidR="00B12AEE">
      <w:pgSz w:w="16834" w:h="11909" w:orient="landscape"/>
      <w:pgMar w:top="1440" w:right="1440" w:bottom="1440"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431" w:rsidRDefault="005E0431">
      <w:pPr>
        <w:spacing w:after="0" w:line="240" w:lineRule="auto"/>
        <w:ind w:left="0" w:hanging="2"/>
      </w:pPr>
      <w:r>
        <w:separator/>
      </w:r>
    </w:p>
  </w:endnote>
  <w:endnote w:type="continuationSeparator" w:id="0">
    <w:p w:rsidR="005E0431" w:rsidRDefault="005E043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ocs-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B12AEE">
    <w:pPr>
      <w:pBdr>
        <w:top w:val="nil"/>
        <w:left w:val="nil"/>
        <w:bottom w:val="nil"/>
        <w:right w:val="nil"/>
        <w:between w:val="nil"/>
      </w:pBdr>
      <w:tabs>
        <w:tab w:val="center" w:pos="4153"/>
        <w:tab w:val="right" w:pos="8306"/>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B12AEE">
    <w:pPr>
      <w:tabs>
        <w:tab w:val="center" w:pos="4513"/>
        <w:tab w:val="right" w:pos="9026"/>
      </w:tabs>
      <w:spacing w:after="0" w:line="240" w:lineRule="auto"/>
      <w:ind w:left="0" w:hanging="2"/>
      <w:rPr>
        <w:rFonts w:ascii="Calibri" w:eastAsia="Calibri" w:hAnsi="Calibri" w:cs="Calibri"/>
      </w:rPr>
    </w:pPr>
  </w:p>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w:t>
    </w:r>
    <w:r w:rsidR="00083C31">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83C31">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color w:val="000000"/>
        <w:sz w:val="20"/>
        <w:szCs w:val="20"/>
      </w:rPr>
      <w:t>Project Version: v</w:t>
    </w:r>
    <w:r w:rsidR="00670E8A">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83C3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12AEE" w:rsidRDefault="006423FB">
    <w:pPr>
      <w:pBdr>
        <w:top w:val="nil"/>
        <w:left w:val="nil"/>
        <w:bottom w:val="nil"/>
        <w:right w:val="nil"/>
        <w:between w:val="nil"/>
      </w:pBdr>
      <w:tabs>
        <w:tab w:val="center" w:pos="4513"/>
        <w:tab w:val="right" w:pos="9026"/>
      </w:tabs>
      <w:spacing w:after="0" w:line="240" w:lineRule="auto"/>
      <w:ind w:left="0" w:hanging="2"/>
      <w:rPr>
        <w:rFonts w:ascii="Arial" w:eastAsia="Arial" w:hAnsi="Arial" w:cs="Arial"/>
        <w:color w:val="A6A6A6"/>
        <w:sz w:val="20"/>
        <w:szCs w:val="20"/>
      </w:rPr>
    </w:pPr>
    <w:r>
      <w:rPr>
        <w:rFonts w:ascii="Arial" w:eastAsia="Arial" w:hAnsi="Arial" w:cs="Arial"/>
        <w:color w:val="000000"/>
        <w:sz w:val="20"/>
        <w:szCs w:val="20"/>
      </w:rPr>
      <w:t xml:space="preserve">Model Version: </w:t>
    </w:r>
  </w:p>
  <w:p w:rsidR="00B12AEE" w:rsidRDefault="00B12AEE">
    <w:pPr>
      <w:pBdr>
        <w:top w:val="nil"/>
        <w:left w:val="nil"/>
        <w:bottom w:val="nil"/>
        <w:right w:val="nil"/>
        <w:between w:val="nil"/>
      </w:pBdr>
      <w:tabs>
        <w:tab w:val="center" w:pos="4153"/>
        <w:tab w:val="right" w:pos="8306"/>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431" w:rsidRDefault="005E0431">
      <w:pPr>
        <w:spacing w:after="0" w:line="240" w:lineRule="auto"/>
        <w:ind w:left="0" w:hanging="2"/>
      </w:pPr>
      <w:r>
        <w:separator/>
      </w:r>
    </w:p>
  </w:footnote>
  <w:footnote w:type="continuationSeparator" w:id="0">
    <w:p w:rsidR="005E0431" w:rsidRDefault="005E043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B12AEE">
    <w:pPr>
      <w:pBdr>
        <w:top w:val="nil"/>
        <w:left w:val="nil"/>
        <w:bottom w:val="nil"/>
        <w:right w:val="nil"/>
        <w:between w:val="nil"/>
      </w:pBdr>
      <w:tabs>
        <w:tab w:val="center" w:pos="4153"/>
        <w:tab w:val="right" w:pos="830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6423FB">
    <w:pPr>
      <w:tabs>
        <w:tab w:val="center" w:pos="4513"/>
        <w:tab w:val="right" w:pos="9026"/>
      </w:tabs>
      <w:spacing w:after="0" w:line="240" w:lineRule="auto"/>
      <w:ind w:left="0" w:hanging="2"/>
      <w:rPr>
        <w:rFonts w:ascii="Arial" w:eastAsia="Arial" w:hAnsi="Arial" w:cs="Arial"/>
        <w:b/>
        <w:sz w:val="20"/>
        <w:szCs w:val="20"/>
      </w:rPr>
    </w:pPr>
    <w:r>
      <w:rPr>
        <w:rFonts w:ascii="Arial" w:eastAsia="Arial" w:hAnsi="Arial" w:cs="Arial"/>
        <w:b/>
        <w:sz w:val="20"/>
        <w:szCs w:val="20"/>
      </w:rPr>
      <w:t xml:space="preserve">Call-Off Schedule 5 (Pricing Details) </w:t>
    </w:r>
  </w:p>
  <w:p w:rsidR="00B12AEE" w:rsidRDefault="006423FB">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Call-Off Ref:</w:t>
    </w:r>
  </w:p>
  <w:p w:rsidR="00B12AEE" w:rsidRDefault="006423FB">
    <w:pPr>
      <w:tabs>
        <w:tab w:val="center" w:pos="4513"/>
        <w:tab w:val="right" w:pos="9026"/>
      </w:tabs>
      <w:spacing w:after="0" w:line="240" w:lineRule="auto"/>
      <w:ind w:left="0" w:hanging="2"/>
      <w:rPr>
        <w:rFonts w:ascii="Arial" w:eastAsia="Arial" w:hAnsi="Arial" w:cs="Arial"/>
        <w:sz w:val="20"/>
        <w:szCs w:val="20"/>
      </w:rPr>
    </w:pPr>
    <w:r>
      <w:rPr>
        <w:rFonts w:ascii="Arial" w:eastAsia="Arial" w:hAnsi="Arial" w:cs="Arial"/>
        <w:sz w:val="20"/>
        <w:szCs w:val="20"/>
      </w:rPr>
      <w:t>Crown Copyright 2021</w:t>
    </w:r>
  </w:p>
  <w:p w:rsidR="00B12AEE" w:rsidRDefault="00B12AEE">
    <w:pPr>
      <w:pBdr>
        <w:top w:val="nil"/>
        <w:left w:val="nil"/>
        <w:bottom w:val="nil"/>
        <w:right w:val="nil"/>
        <w:between w:val="nil"/>
      </w:pBdr>
      <w:tabs>
        <w:tab w:val="center" w:pos="4153"/>
        <w:tab w:val="right" w:pos="830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EE" w:rsidRDefault="006423FB">
    <w:pPr>
      <w:tabs>
        <w:tab w:val="center" w:pos="4513"/>
        <w:tab w:val="right" w:pos="9026"/>
      </w:tabs>
      <w:spacing w:after="0" w:line="240" w:lineRule="auto"/>
      <w:ind w:left="0" w:hanging="2"/>
      <w:rPr>
        <w:rFonts w:ascii="Arial" w:eastAsia="Arial" w:hAnsi="Arial" w:cs="Arial"/>
        <w:color w:val="000000"/>
        <w:sz w:val="20"/>
        <w:szCs w:val="20"/>
      </w:rPr>
    </w:pPr>
    <w:r>
      <w:rPr>
        <w:rFonts w:ascii="Arial" w:eastAsia="Arial" w:hAnsi="Arial" w:cs="Arial"/>
        <w:b/>
        <w:color w:val="000000"/>
        <w:sz w:val="20"/>
        <w:szCs w:val="20"/>
      </w:rPr>
      <w:t>Call-Off Schedule 5 (Pricing Details)</w:t>
    </w:r>
  </w:p>
  <w:p w:rsidR="00B12AEE" w:rsidRDefault="006423FB">
    <w:pPr>
      <w:tabs>
        <w:tab w:val="center" w:pos="4513"/>
        <w:tab w:val="right" w:pos="9026"/>
      </w:tabs>
      <w:spacing w:after="0" w:line="240" w:lineRule="auto"/>
      <w:ind w:left="0" w:hanging="2"/>
      <w:jc w:val="left"/>
      <w:rPr>
        <w:rFonts w:ascii="Arial" w:eastAsia="Arial" w:hAnsi="Arial" w:cs="Arial"/>
        <w:color w:val="000000"/>
        <w:sz w:val="20"/>
        <w:szCs w:val="20"/>
      </w:rPr>
    </w:pPr>
    <w:bookmarkStart w:id="12" w:name="_heading=h.1fob9te" w:colFirst="0" w:colLast="0"/>
    <w:bookmarkEnd w:id="12"/>
    <w:r>
      <w:rPr>
        <w:rFonts w:ascii="Arial" w:eastAsia="Arial" w:hAnsi="Arial" w:cs="Arial"/>
        <w:color w:val="000000"/>
        <w:sz w:val="20"/>
        <w:szCs w:val="20"/>
      </w:rPr>
      <w:t xml:space="preserve">Call-Off Ref: </w:t>
    </w:r>
  </w:p>
  <w:p w:rsidR="00B12AEE" w:rsidRDefault="006423FB">
    <w:pPr>
      <w:tabs>
        <w:tab w:val="center" w:pos="4513"/>
        <w:tab w:val="right" w:pos="9026"/>
      </w:tabs>
      <w:spacing w:after="0" w:line="240" w:lineRule="auto"/>
      <w:ind w:left="0" w:hanging="2"/>
      <w:jc w:val="left"/>
      <w:rPr>
        <w:rFonts w:ascii="Arial" w:eastAsia="Arial" w:hAnsi="Arial" w:cs="Arial"/>
        <w:color w:val="000000"/>
        <w:sz w:val="20"/>
        <w:szCs w:val="20"/>
      </w:rPr>
    </w:pPr>
    <w:r>
      <w:rPr>
        <w:rFonts w:ascii="Arial" w:eastAsia="Arial" w:hAnsi="Arial" w:cs="Arial"/>
        <w:color w:val="000000"/>
        <w:sz w:val="20"/>
        <w:szCs w:val="20"/>
      </w:rPr>
      <w:t>Crown Copyright 2021</w:t>
    </w:r>
  </w:p>
  <w:p w:rsidR="00B12AEE" w:rsidRDefault="00B12AEE">
    <w:pPr>
      <w:pBdr>
        <w:top w:val="nil"/>
        <w:left w:val="nil"/>
        <w:bottom w:val="nil"/>
        <w:right w:val="nil"/>
        <w:between w:val="nil"/>
      </w:pBdr>
      <w:tabs>
        <w:tab w:val="center" w:pos="4153"/>
        <w:tab w:val="right" w:pos="8306"/>
      </w:tabs>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01800"/>
    <w:multiLevelType w:val="multilevel"/>
    <w:tmpl w:val="D374CA3C"/>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1" w15:restartNumberingAfterBreak="0">
    <w:nsid w:val="6AB74166"/>
    <w:multiLevelType w:val="multilevel"/>
    <w:tmpl w:val="5936005E"/>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ListBullet"/>
      <w:lvlText w:val="%9."/>
      <w:lvlJc w:val="left"/>
      <w:pPr>
        <w:tabs>
          <w:tab w:val="num" w:pos="6480"/>
        </w:tabs>
        <w:ind w:left="6480" w:hanging="720"/>
      </w:pPr>
    </w:lvl>
  </w:abstractNum>
  <w:abstractNum w:abstractNumId="2" w15:restartNumberingAfterBreak="0">
    <w:nsid w:val="74801B08"/>
    <w:multiLevelType w:val="multilevel"/>
    <w:tmpl w:val="7F4CEF9C"/>
    <w:lvl w:ilvl="0">
      <w:start w:val="1"/>
      <w:numFmt w:val="decimal"/>
      <w:pStyle w:val="Heading1"/>
      <w:lvlText w:val="%1."/>
      <w:lvlJc w:val="left"/>
      <w:pPr>
        <w:ind w:left="360" w:hanging="360"/>
      </w:pPr>
      <w:rPr>
        <w:smallCaps w:val="0"/>
        <w:vertAlign w:val="baseline"/>
      </w:rPr>
    </w:lvl>
    <w:lvl w:ilvl="1">
      <w:start w:val="1"/>
      <w:numFmt w:val="decimal"/>
      <w:pStyle w:val="Heading2"/>
      <w:lvlText w:val="%1.%2"/>
      <w:lvlJc w:val="left"/>
      <w:pPr>
        <w:ind w:left="864" w:hanging="502"/>
      </w:pPr>
      <w:rPr>
        <w:b w:val="0"/>
        <w:smallCaps w:val="0"/>
        <w:vertAlign w:val="baseline"/>
      </w:rPr>
    </w:lvl>
    <w:lvl w:ilvl="2">
      <w:start w:val="1"/>
      <w:numFmt w:val="decimal"/>
      <w:pStyle w:val="Heading3"/>
      <w:lvlText w:val="%1.%2.%3"/>
      <w:lvlJc w:val="left"/>
      <w:pPr>
        <w:ind w:left="1926" w:hanging="936"/>
      </w:pPr>
      <w:rPr>
        <w:b w:val="0"/>
        <w:smallCaps w:val="0"/>
        <w:vertAlign w:val="baseline"/>
      </w:rPr>
    </w:lvl>
    <w:lvl w:ilvl="3">
      <w:start w:val="1"/>
      <w:numFmt w:val="decimal"/>
      <w:pStyle w:val="Heading4"/>
      <w:lvlText w:val="%1.%2.%3.%4"/>
      <w:lvlJc w:val="left"/>
      <w:pPr>
        <w:ind w:left="2880" w:hanging="1080"/>
      </w:pPr>
      <w:rPr>
        <w:smallCaps w:val="0"/>
        <w:vertAlign w:val="baseline"/>
      </w:rPr>
    </w:lvl>
    <w:lvl w:ilvl="4">
      <w:start w:val="1"/>
      <w:numFmt w:val="upperLetter"/>
      <w:pStyle w:val="Heading5"/>
      <w:lvlText w:val="(%5)"/>
      <w:lvlJc w:val="left"/>
      <w:pPr>
        <w:ind w:left="3600" w:hanging="720"/>
      </w:pPr>
      <w:rPr>
        <w:smallCaps w:val="0"/>
        <w:vertAlign w:val="baseline"/>
      </w:rPr>
    </w:lvl>
    <w:lvl w:ilvl="5">
      <w:start w:val="1"/>
      <w:numFmt w:val="lowerRoman"/>
      <w:pStyle w:val="Heading6"/>
      <w:lvlText w:val="(%6)"/>
      <w:lvlJc w:val="left"/>
      <w:pPr>
        <w:ind w:left="4320" w:hanging="720"/>
      </w:pPr>
      <w:rPr>
        <w:smallCaps w:val="0"/>
        <w:vertAlign w:val="baseline"/>
      </w:rPr>
    </w:lvl>
    <w:lvl w:ilvl="6">
      <w:start w:val="1"/>
      <w:numFmt w:val="decimal"/>
      <w:pStyle w:val="Heading7"/>
      <w:lvlText w:val="(%7)"/>
      <w:lvlJc w:val="left"/>
      <w:pPr>
        <w:ind w:left="5040" w:hanging="720"/>
      </w:pPr>
      <w:rPr>
        <w:smallCaps w:val="0"/>
        <w:vertAlign w:val="baseline"/>
      </w:rPr>
    </w:lvl>
    <w:lvl w:ilvl="7">
      <w:start w:val="1"/>
      <w:numFmt w:val="decimal"/>
      <w:pStyle w:val="Heading8"/>
      <w:lvlText w:val=""/>
      <w:lvlJc w:val="left"/>
      <w:pPr>
        <w:ind w:left="5040" w:hanging="720"/>
      </w:pPr>
      <w:rPr>
        <w:smallCaps w:val="0"/>
        <w:vertAlign w:val="baseline"/>
      </w:rPr>
    </w:lvl>
    <w:lvl w:ilvl="8">
      <w:start w:val="1"/>
      <w:numFmt w:val="decimal"/>
      <w:pStyle w:val="Heading9"/>
      <w:lvlText w:val=""/>
      <w:lvlJc w:val="left"/>
      <w:pPr>
        <w:ind w:left="5040" w:hanging="720"/>
      </w:pPr>
      <w:rPr>
        <w:smallCaps w:val="0"/>
        <w:vertAlign w:val="baseline"/>
      </w:r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AEE"/>
    <w:rsid w:val="00083C31"/>
    <w:rsid w:val="00163CC8"/>
    <w:rsid w:val="00255FBE"/>
    <w:rsid w:val="0031713C"/>
    <w:rsid w:val="005E0431"/>
    <w:rsid w:val="006423FB"/>
    <w:rsid w:val="00670E8A"/>
    <w:rsid w:val="00B12AEE"/>
    <w:rsid w:val="00DD2B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DA4C8"/>
  <w15:docId w15:val="{9B0FD34C-5CD8-4EEA-8B4D-C85AA8E1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ind w:hang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ind w:leftChars="-1" w:left="-1" w:hangingChars="1"/>
      <w:textDirection w:val="btLr"/>
      <w:textAlignment w:val="baseline"/>
      <w:outlineLvl w:val="0"/>
    </w:pPr>
    <w:rPr>
      <w:position w:val="-1"/>
      <w:lang w:eastAsia="en-US"/>
    </w:rPr>
  </w:style>
  <w:style w:type="paragraph" w:styleId="Heading1">
    <w:name w:val="heading 1"/>
    <w:basedOn w:val="HouseStyleBase"/>
    <w:uiPriority w:val="9"/>
    <w:qFormat/>
    <w:pPr>
      <w:numPr>
        <w:numId w:val="2"/>
      </w:numPr>
      <w:ind w:left="-1" w:hanging="1"/>
    </w:pPr>
  </w:style>
  <w:style w:type="paragraph" w:styleId="Heading2">
    <w:name w:val="heading 2"/>
    <w:basedOn w:val="HouseStyleBase"/>
    <w:uiPriority w:val="9"/>
    <w:semiHidden/>
    <w:unhideWhenUsed/>
    <w:qFormat/>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unhideWhenUsed/>
    <w:qFormat/>
    <w:pPr>
      <w:numPr>
        <w:ilvl w:val="2"/>
        <w:numId w:val="2"/>
      </w:numPr>
      <w:ind w:left="-1" w:hanging="1"/>
      <w:outlineLvl w:val="2"/>
    </w:pPr>
  </w:style>
  <w:style w:type="paragraph" w:styleId="Heading4">
    <w:name w:val="heading 4"/>
    <w:basedOn w:val="HouseStyleBase"/>
    <w:uiPriority w:val="9"/>
    <w:semiHidden/>
    <w:unhideWhenUsed/>
    <w:qFormat/>
    <w:pPr>
      <w:numPr>
        <w:ilvl w:val="3"/>
        <w:numId w:val="2"/>
      </w:numPr>
      <w:ind w:left="-1" w:hanging="1"/>
      <w:outlineLvl w:val="3"/>
    </w:pPr>
  </w:style>
  <w:style w:type="paragraph" w:styleId="Heading5">
    <w:name w:val="heading 5"/>
    <w:basedOn w:val="HouseStyleBase"/>
    <w:uiPriority w:val="9"/>
    <w:semiHidden/>
    <w:unhideWhenUsed/>
    <w:qFormat/>
    <w:pPr>
      <w:numPr>
        <w:ilvl w:val="4"/>
        <w:numId w:val="2"/>
      </w:numPr>
      <w:ind w:left="-1" w:hanging="1"/>
      <w:outlineLvl w:val="4"/>
    </w:pPr>
  </w:style>
  <w:style w:type="paragraph" w:styleId="Heading6">
    <w:name w:val="heading 6"/>
    <w:basedOn w:val="HouseStyleBase"/>
    <w:uiPriority w:val="9"/>
    <w:semiHidden/>
    <w:unhideWhenUsed/>
    <w:qFormat/>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jc w:val="center"/>
    </w:pPr>
    <w:rPr>
      <w:b/>
      <w:caps/>
    </w:rPr>
  </w:style>
  <w:style w:type="paragraph" w:customStyle="1" w:styleId="ScheduleL1">
    <w:name w:val="Schedule L1"/>
    <w:basedOn w:val="HouseStyleBase"/>
    <w:pPr>
      <w:keepNext/>
      <w:tabs>
        <w:tab w:val="num" w:pos="720"/>
      </w:tabs>
    </w:pPr>
    <w:rPr>
      <w:rFonts w:ascii="Calibri" w:eastAsia="STZhongsong" w:hAnsi="Calibri"/>
      <w:b/>
      <w:bCs/>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rPr>
  </w:style>
  <w:style w:type="paragraph" w:styleId="ListBullet2">
    <w:name w:val="List Bullet 2"/>
    <w:basedOn w:val="HouseStyleBase"/>
    <w:pPr>
      <w:tabs>
        <w:tab w:val="num" w:pos="1440"/>
      </w:tabs>
    </w:pPr>
  </w:style>
  <w:style w:type="paragraph" w:customStyle="1" w:styleId="HouseStyleBase">
    <w:name w:val="House Style Base"/>
    <w:pPr>
      <w:suppressAutoHyphens/>
      <w:adjustRightInd w:val="0"/>
      <w:spacing w:line="1" w:lineRule="atLeast"/>
      <w:ind w:leftChars="-1" w:left="-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adjustRightInd w:val="0"/>
      <w:spacing w:after="120" w:line="1" w:lineRule="atLeast"/>
      <w:ind w:leftChars="-1" w:left="720" w:hangingChars="1" w:hanging="720"/>
      <w:textDirection w:val="btLr"/>
      <w:textAlignment w:val="top"/>
      <w:outlineLvl w:val="0"/>
    </w:pPr>
    <w:rPr>
      <w:caps/>
      <w:position w:val="-1"/>
      <w:lang w:eastAsia="zh-CN"/>
    </w:rPr>
  </w:style>
  <w:style w:type="paragraph" w:styleId="TOC2">
    <w:name w:val="toc 2"/>
    <w:pPr>
      <w:tabs>
        <w:tab w:val="left" w:pos="1440"/>
        <w:tab w:val="right" w:leader="dot" w:pos="9029"/>
      </w:tabs>
      <w:suppressAutoHyphens/>
      <w:adjustRightInd w:val="0"/>
      <w:spacing w:after="120" w:line="1" w:lineRule="atLeast"/>
      <w:ind w:leftChars="-1" w:left="1440" w:hangingChars="1" w:hanging="720"/>
      <w:textDirection w:val="btLr"/>
      <w:textAlignment w:val="top"/>
      <w:outlineLvl w:val="0"/>
    </w:pPr>
    <w:rPr>
      <w:position w:val="-1"/>
      <w:lang w:eastAsia="zh-CN"/>
    </w:rPr>
  </w:style>
  <w:style w:type="paragraph" w:styleId="TOC3">
    <w:name w:val="toc 3"/>
    <w:pPr>
      <w:tabs>
        <w:tab w:val="left" w:pos="2160"/>
        <w:tab w:val="right" w:leader="dot" w:pos="9029"/>
      </w:tabs>
      <w:suppressAutoHyphens/>
      <w:adjustRightInd w:val="0"/>
      <w:spacing w:after="120" w:line="1" w:lineRule="atLeast"/>
      <w:ind w:leftChars="-1" w:left="2160" w:hangingChars="1" w:hanging="720"/>
      <w:textDirection w:val="btLr"/>
      <w:textAlignment w:val="top"/>
      <w:outlineLvl w:val="0"/>
    </w:pPr>
    <w:rPr>
      <w:position w:val="-1"/>
      <w:lang w:eastAsia="zh-CN"/>
    </w:rPr>
  </w:style>
  <w:style w:type="paragraph" w:styleId="TOC4">
    <w:name w:val="toc 4"/>
    <w:pPr>
      <w:tabs>
        <w:tab w:val="left" w:pos="2880"/>
        <w:tab w:val="right" w:leader="dot" w:pos="9029"/>
      </w:tabs>
      <w:suppressAutoHyphens/>
      <w:adjustRightInd w:val="0"/>
      <w:spacing w:after="120" w:line="1" w:lineRule="atLeast"/>
      <w:ind w:leftChars="-1" w:left="2880" w:hangingChars="1" w:hanging="720"/>
      <w:textDirection w:val="btLr"/>
      <w:textAlignment w:val="top"/>
      <w:outlineLvl w:val="0"/>
    </w:pPr>
    <w:rPr>
      <w:position w:val="-1"/>
      <w:lang w:eastAsia="zh-CN"/>
    </w:rPr>
  </w:style>
  <w:style w:type="paragraph" w:styleId="TOC5">
    <w:name w:val="toc 5"/>
    <w:pPr>
      <w:tabs>
        <w:tab w:val="left" w:pos="3600"/>
        <w:tab w:val="right" w:leader="dot" w:pos="9029"/>
      </w:tabs>
      <w:suppressAutoHyphens/>
      <w:adjustRightInd w:val="0"/>
      <w:spacing w:after="120" w:line="1" w:lineRule="atLeast"/>
      <w:ind w:leftChars="-1" w:left="3600" w:hangingChars="1" w:hanging="720"/>
      <w:textDirection w:val="btLr"/>
      <w:textAlignment w:val="top"/>
      <w:outlineLvl w:val="0"/>
    </w:pPr>
    <w:rPr>
      <w:position w:val="-1"/>
      <w:lang w:eastAsia="zh-CN"/>
    </w:rPr>
  </w:style>
  <w:style w:type="paragraph" w:styleId="TOC6">
    <w:name w:val="toc 6"/>
    <w:pPr>
      <w:tabs>
        <w:tab w:val="left" w:pos="4320"/>
        <w:tab w:val="right" w:leader="dot" w:pos="9029"/>
      </w:tabs>
      <w:suppressAutoHyphens/>
      <w:adjustRightInd w:val="0"/>
      <w:spacing w:after="120" w:line="1" w:lineRule="atLeast"/>
      <w:ind w:leftChars="-1" w:left="4320" w:hangingChars="1" w:hanging="720"/>
      <w:textDirection w:val="btLr"/>
      <w:textAlignment w:val="top"/>
      <w:outlineLvl w:val="0"/>
    </w:pPr>
    <w:rPr>
      <w:position w:val="-1"/>
      <w:lang w:eastAsia="zh-CN"/>
    </w:rPr>
  </w:style>
  <w:style w:type="paragraph" w:styleId="TOC7">
    <w:name w:val="toc 7"/>
    <w:pPr>
      <w:tabs>
        <w:tab w:val="left" w:pos="5040"/>
        <w:tab w:val="right" w:leader="dot" w:pos="9029"/>
      </w:tabs>
      <w:suppressAutoHyphens/>
      <w:adjustRightInd w:val="0"/>
      <w:spacing w:after="120" w:line="1" w:lineRule="atLeast"/>
      <w:ind w:leftChars="-1" w:left="5040" w:hangingChars="1" w:hanging="720"/>
      <w:textDirection w:val="btLr"/>
      <w:textAlignment w:val="top"/>
      <w:outlineLvl w:val="0"/>
    </w:pPr>
    <w:rPr>
      <w:position w:val="-1"/>
      <w:lang w:eastAsia="zh-CN"/>
    </w:rPr>
  </w:style>
  <w:style w:type="paragraph" w:styleId="TOC8">
    <w:name w:val="toc 8"/>
    <w:pPr>
      <w:tabs>
        <w:tab w:val="right" w:leader="dot" w:pos="9029"/>
      </w:tabs>
      <w:suppressAutoHyphens/>
      <w:adjustRightInd w:val="0"/>
      <w:spacing w:after="120" w:line="1" w:lineRule="atLeast"/>
      <w:ind w:leftChars="-1" w:left="-1" w:hangingChars="1"/>
      <w:textDirection w:val="btLr"/>
      <w:textAlignment w:val="top"/>
      <w:outlineLvl w:val="0"/>
    </w:pPr>
    <w:rPr>
      <w:caps/>
      <w:position w:val="-1"/>
      <w:lang w:eastAsia="zh-CN"/>
    </w:rPr>
  </w:style>
  <w:style w:type="paragraph" w:styleId="TOC9">
    <w:name w:val="toc 9"/>
    <w:pPr>
      <w:tabs>
        <w:tab w:val="right" w:leader="dot" w:pos="9029"/>
      </w:tabs>
      <w:suppressAutoHyphens/>
      <w:adjustRightInd w:val="0"/>
      <w:spacing w:after="120" w:line="1" w:lineRule="atLeast"/>
      <w:ind w:leftChars="-1" w:left="720" w:hangingChars="1"/>
      <w:textDirection w:val="btLr"/>
      <w:textAlignment w:val="top"/>
      <w:outlineLvl w:val="0"/>
    </w:pPr>
    <w:rPr>
      <w:position w:val="-1"/>
      <w:lang w:eastAsia="zh-CN"/>
    </w:rPr>
  </w:style>
  <w:style w:type="paragraph" w:customStyle="1" w:styleId="HouseStyleBaseCentred">
    <w:name w:val="House Style Base Centred"/>
    <w:pPr>
      <w:suppressAutoHyphens/>
      <w:adjustRightInd w:val="0"/>
      <w:spacing w:line="1" w:lineRule="atLeast"/>
      <w:ind w:leftChars="-1" w:left="-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hAnsi="Times New Roman" w:cs="Times New Roman"/>
      <w:dstrike w:val="0"/>
      <w:snapToGrid/>
      <w:color w:val="auto"/>
      <w:w w:val="100"/>
      <w:kern w:val="0"/>
      <w:position w:val="-1"/>
      <w:sz w:val="22"/>
      <w:u w:val="none"/>
      <w:effect w:val="none"/>
      <w:vertAlign w:val="superscript"/>
      <w:cs w:val="0"/>
      <w:em w:val="none"/>
    </w:rPr>
  </w:style>
  <w:style w:type="table" w:styleId="TableGrid">
    <w:name w:val="Table Grid"/>
    <w:basedOn w:val="TableNormal"/>
    <w:pPr>
      <w:suppressAutoHyphens/>
      <w:overflowPunct w:val="0"/>
      <w:autoSpaceDE w:val="0"/>
      <w:autoSpaceDN w:val="0"/>
      <w:adjustRightInd w:val="0"/>
      <w:spacing w:line="1" w:lineRule="atLeast"/>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jc w:val="center"/>
    </w:pPr>
    <w:rPr>
      <w:b/>
      <w:caps/>
    </w:rPr>
  </w:style>
  <w:style w:type="paragraph" w:customStyle="1" w:styleId="RecitalNumbering">
    <w:name w:val="Recital Numbering"/>
    <w:basedOn w:val="HouseStyleBase"/>
    <w:pPr>
      <w:tabs>
        <w:tab w:val="num" w:pos="720"/>
      </w:tabs>
    </w:pPr>
  </w:style>
  <w:style w:type="paragraph" w:customStyle="1" w:styleId="DefinitionNumbering1">
    <w:name w:val="Definition Numbering 1"/>
    <w:basedOn w:val="HouseStyleBase"/>
    <w:pPr>
      <w:numPr>
        <w:ilvl w:val="2"/>
        <w:numId w:val="3"/>
      </w:numPr>
      <w:spacing w:after="120"/>
      <w:ind w:left="-1" w:hanging="1"/>
    </w:pPr>
    <w:rPr>
      <w:rFonts w:ascii="Calibri" w:eastAsia="STZhongsong" w:hAnsi="Calibri"/>
    </w:rPr>
  </w:style>
  <w:style w:type="paragraph" w:customStyle="1" w:styleId="DefinitionNumbering2">
    <w:name w:val="Definition Numbering 2"/>
    <w:basedOn w:val="HouseStyleBase"/>
    <w:pPr>
      <w:numPr>
        <w:ilvl w:val="3"/>
        <w:numId w:val="3"/>
      </w:numPr>
      <w:ind w:left="-1" w:hanging="1"/>
      <w:outlineLvl w:val="1"/>
    </w:pPr>
  </w:style>
  <w:style w:type="paragraph" w:customStyle="1" w:styleId="DefinitionNumbering3">
    <w:name w:val="Definition Numbering 3"/>
    <w:basedOn w:val="HouseStyleBase"/>
    <w:pPr>
      <w:numPr>
        <w:ilvl w:val="4"/>
        <w:numId w:val="3"/>
      </w:numPr>
      <w:ind w:left="-1" w:hanging="1"/>
      <w:outlineLvl w:val="2"/>
    </w:pPr>
  </w:style>
  <w:style w:type="paragraph" w:customStyle="1" w:styleId="DefinitionNumbering4">
    <w:name w:val="Definition Numbering 4"/>
    <w:basedOn w:val="HouseStyleBase"/>
    <w:pPr>
      <w:numPr>
        <w:ilvl w:val="5"/>
        <w:numId w:val="3"/>
      </w:numPr>
      <w:ind w:left="-1" w:hanging="1"/>
      <w:outlineLvl w:val="3"/>
    </w:pPr>
  </w:style>
  <w:style w:type="paragraph" w:customStyle="1" w:styleId="DefinitionNumbering5">
    <w:name w:val="Definition Numbering 5"/>
    <w:basedOn w:val="HouseStyleBase"/>
    <w:pPr>
      <w:numPr>
        <w:ilvl w:val="6"/>
        <w:numId w:val="3"/>
      </w:numPr>
      <w:ind w:left="-1" w:hanging="1"/>
      <w:outlineLvl w:val="4"/>
    </w:pPr>
  </w:style>
  <w:style w:type="paragraph" w:customStyle="1" w:styleId="DefinitionNumbering6">
    <w:name w:val="Definition Numbering 6"/>
    <w:basedOn w:val="HouseStyleBase"/>
    <w:pPr>
      <w:numPr>
        <w:ilvl w:val="7"/>
        <w:numId w:val="3"/>
      </w:numPr>
      <w:ind w:left="-1" w:hanging="1"/>
      <w:outlineLvl w:val="5"/>
    </w:pPr>
  </w:style>
  <w:style w:type="paragraph" w:customStyle="1" w:styleId="DefinitionNumbering7">
    <w:name w:val="Definition Numbering 7"/>
    <w:basedOn w:val="HouseStyleBase"/>
    <w:pPr>
      <w:tabs>
        <w:tab w:val="num" w:pos="6480"/>
      </w:tabs>
      <w:outlineLvl w:val="6"/>
    </w:pPr>
  </w:style>
  <w:style w:type="paragraph" w:customStyle="1" w:styleId="DefinitionNumbering8">
    <w:name w:val="Definition Numbering 8"/>
    <w:basedOn w:val="HouseStyleBase"/>
    <w:pPr>
      <w:tabs>
        <w:tab w:val="num" w:pos="5760"/>
      </w:tabs>
      <w:outlineLvl w:val="7"/>
    </w:pPr>
  </w:style>
  <w:style w:type="paragraph" w:customStyle="1" w:styleId="DefinitionNumbering9">
    <w:name w:val="Definition Numbering 9"/>
    <w:basedOn w:val="HouseStyleBase"/>
    <w:pPr>
      <w:tabs>
        <w:tab w:val="num" w:pos="6480"/>
      </w:tabs>
      <w:outlineLvl w:val="8"/>
    </w:pPr>
  </w:style>
  <w:style w:type="paragraph" w:customStyle="1" w:styleId="ListBullet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customStyle="1" w:styleId="ListBullet6">
    <w:name w:val="List Bullet 6"/>
    <w:basedOn w:val="HouseStyleBase"/>
    <w:pPr>
      <w:tabs>
        <w:tab w:val="num" w:pos="4320"/>
      </w:tabs>
    </w:pPr>
  </w:style>
  <w:style w:type="paragraph" w:customStyle="1" w:styleId="ListBullet7">
    <w:name w:val="List Bullet 7"/>
    <w:basedOn w:val="HouseStyleBase"/>
    <w:pPr>
      <w:tabs>
        <w:tab w:val="num" w:pos="5040"/>
      </w:tabs>
    </w:pPr>
  </w:style>
  <w:style w:type="paragraph" w:customStyle="1" w:styleId="ListBullet8">
    <w:name w:val="List Bullet 8"/>
    <w:basedOn w:val="HouseStyleBase"/>
    <w:pPr>
      <w:tabs>
        <w:tab w:val="num" w:pos="5760"/>
      </w:tabs>
    </w:pPr>
  </w:style>
  <w:style w:type="paragraph" w:customStyle="1" w:styleId="ListBullet9">
    <w:name w:val="List Bullet 9"/>
    <w:basedOn w:val="HouseStyleBase"/>
    <w:pPr>
      <w:tabs>
        <w:tab w:val="num" w:pos="6480"/>
      </w:tabs>
    </w:pPr>
  </w:style>
  <w:style w:type="paragraph" w:customStyle="1" w:styleId="SchPart">
    <w:name w:val="SchPart"/>
    <w:basedOn w:val="HouseStyleBaseCentred"/>
    <w:next w:val="MarginText"/>
    <w:pPr>
      <w:keepNext/>
      <w:tabs>
        <w:tab w:val="num" w:pos="1440"/>
      </w:tabs>
      <w:jc w:val="center"/>
      <w:outlineLvl w:val="1"/>
    </w:pPr>
    <w:rPr>
      <w:b/>
    </w:rPr>
  </w:style>
  <w:style w:type="paragraph" w:customStyle="1" w:styleId="ScheduleL2">
    <w:name w:val="Schedule L2"/>
    <w:basedOn w:val="HouseStyleBase"/>
    <w:pPr>
      <w:tabs>
        <w:tab w:val="num" w:pos="1440"/>
      </w:tabs>
      <w:outlineLvl w:val="1"/>
    </w:pPr>
    <w:rPr>
      <w:rFonts w:ascii="Calibri" w:eastAsia="STZhongsong" w:hAnsi="Calibri"/>
    </w:rPr>
  </w:style>
  <w:style w:type="paragraph" w:customStyle="1" w:styleId="ScheduleL3">
    <w:name w:val="Schedule L3"/>
    <w:basedOn w:val="HouseStyleBase"/>
    <w:pPr>
      <w:tabs>
        <w:tab w:val="num" w:pos="2160"/>
      </w:tabs>
      <w:outlineLvl w:val="2"/>
    </w:pPr>
    <w:rPr>
      <w:rFonts w:ascii="Calibri" w:eastAsia="STZhongsong" w:hAnsi="Calibri"/>
    </w:rPr>
  </w:style>
  <w:style w:type="paragraph" w:customStyle="1" w:styleId="ScheduleL4">
    <w:name w:val="Schedule L4"/>
    <w:basedOn w:val="HouseStyleBase"/>
    <w:pPr>
      <w:tabs>
        <w:tab w:val="num" w:pos="2880"/>
      </w:tabs>
      <w:outlineLvl w:val="3"/>
    </w:pPr>
  </w:style>
  <w:style w:type="paragraph" w:customStyle="1" w:styleId="ScheduleL5">
    <w:name w:val="Schedule L5"/>
    <w:basedOn w:val="HouseStyleBase"/>
    <w:pPr>
      <w:tabs>
        <w:tab w:val="num" w:pos="3600"/>
      </w:tabs>
      <w:outlineLvl w:val="4"/>
    </w:pPr>
  </w:style>
  <w:style w:type="paragraph" w:customStyle="1" w:styleId="ScheduleL6">
    <w:name w:val="Schedule L6"/>
    <w:basedOn w:val="HouseStyleBase"/>
    <w:pPr>
      <w:tabs>
        <w:tab w:val="num" w:pos="4320"/>
      </w:tabs>
      <w:outlineLvl w:val="5"/>
    </w:pPr>
  </w:style>
  <w:style w:type="paragraph" w:customStyle="1" w:styleId="ScheduleL7">
    <w:name w:val="Schedule L7"/>
    <w:basedOn w:val="HouseStyleBase"/>
    <w:pPr>
      <w:tabs>
        <w:tab w:val="num" w:pos="5040"/>
      </w:tabs>
      <w:outlineLvl w:val="6"/>
    </w:pPr>
  </w:style>
  <w:style w:type="paragraph" w:customStyle="1" w:styleId="ScheduleL8">
    <w:name w:val="Schedule L8"/>
    <w:basedOn w:val="HouseStyleBase"/>
    <w:pPr>
      <w:tabs>
        <w:tab w:val="num" w:pos="5760"/>
      </w:tabs>
      <w:outlineLvl w:val="7"/>
    </w:pPr>
  </w:style>
  <w:style w:type="paragraph" w:customStyle="1" w:styleId="ScheduleL9">
    <w:name w:val="Schedule L9"/>
    <w:basedOn w:val="HouseStyleBase"/>
    <w:pPr>
      <w:tabs>
        <w:tab w:val="num" w:pos="6480"/>
      </w:tabs>
      <w:outlineLvl w:val="8"/>
    </w:pPr>
  </w:style>
  <w:style w:type="paragraph" w:customStyle="1" w:styleId="SchSection">
    <w:name w:val="SchSection"/>
    <w:basedOn w:val="HouseStyleBaseCentred"/>
    <w:next w:val="MarginText"/>
    <w:pPr>
      <w:keepNext/>
      <w:tabs>
        <w:tab w:val="num" w:pos="2160"/>
      </w:tabs>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jc w:val="center"/>
      <w:outlineLvl w:val="1"/>
    </w:pPr>
    <w:rPr>
      <w:b/>
    </w:rPr>
  </w:style>
  <w:style w:type="paragraph" w:customStyle="1" w:styleId="RecitalNumbering2">
    <w:name w:val="Recital Numbering 2"/>
    <w:basedOn w:val="HouseStyleBase"/>
    <w:pPr>
      <w:tabs>
        <w:tab w:val="num" w:pos="1440"/>
      </w:tabs>
      <w:overflowPunct w:val="0"/>
      <w:autoSpaceDE w:val="0"/>
      <w:autoSpaceDN w:val="0"/>
      <w:textAlignment w:val="baseline"/>
    </w:pPr>
  </w:style>
  <w:style w:type="paragraph" w:customStyle="1" w:styleId="RecitalNumbering3">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customStyle="1" w:styleId="BodyText2Char">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Char">
    <w:name w:val="Body Text Char"/>
    <w:rPr>
      <w:w w:val="100"/>
      <w:position w:val="-1"/>
      <w:sz w:val="22"/>
      <w:effect w:val="none"/>
      <w:vertAlign w:val="baseline"/>
      <w:cs w:val="0"/>
      <w:em w:val="none"/>
      <w:lang w:eastAsia="en-US"/>
    </w:rPr>
  </w:style>
  <w:style w:type="character" w:customStyle="1" w:styleId="BodyTextFirstIndentChar">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Chars="-1" w:left="283" w:hangingChars="1" w:hanging="1"/>
      <w:textAlignment w:val="baseline"/>
    </w:pPr>
    <w:rPr>
      <w:rFonts w:eastAsia="Times New Roman"/>
    </w:rPr>
  </w:style>
  <w:style w:type="character" w:customStyle="1" w:styleId="HouseStyleBaseChar">
    <w:name w:val="House Style Base Char"/>
    <w:rPr>
      <w:w w:val="100"/>
      <w:position w:val="-1"/>
      <w:sz w:val="22"/>
      <w:effect w:val="none"/>
      <w:vertAlign w:val="baseline"/>
      <w:cs w:val="0"/>
      <w:em w:val="none"/>
      <w:lang w:eastAsia="zh-CN"/>
    </w:rPr>
  </w:style>
  <w:style w:type="character" w:customStyle="1" w:styleId="BodyTextIndentChar">
    <w:name w:val="Body Text Indent Char"/>
    <w:rPr>
      <w:rFonts w:ascii="Calibri" w:eastAsia="STZhongsong" w:hAnsi="Calibri"/>
      <w:w w:val="100"/>
      <w:position w:val="-1"/>
      <w:sz w:val="22"/>
      <w:effect w:val="none"/>
      <w:vertAlign w:val="baseline"/>
      <w:cs w:val="0"/>
      <w:em w:val="none"/>
      <w:lang w:eastAsia="zh-CN"/>
    </w:rPr>
  </w:style>
  <w:style w:type="character" w:customStyle="1" w:styleId="BodyTextFirstIndent2Char">
    <w:name w:val="Body Text First Indent 2 Char"/>
    <w:rPr>
      <w:w w:val="100"/>
      <w:position w:val="-1"/>
      <w:sz w:val="22"/>
      <w:effect w:val="none"/>
      <w:vertAlign w:val="baseline"/>
      <w:cs w:val="0"/>
      <w:em w:val="none"/>
      <w:lang w:eastAsia="en-US"/>
    </w:rPr>
  </w:style>
  <w:style w:type="character" w:styleId="BookTitle">
    <w:name w:val="Book Title"/>
    <w:rPr>
      <w:b/>
      <w:bCs/>
      <w:smallCaps/>
      <w:spacing w:val="5"/>
      <w:w w:val="100"/>
      <w:position w:val="-1"/>
      <w:effect w:val="none"/>
      <w:vertAlign w:val="baseline"/>
      <w:cs w:val="0"/>
      <w:em w:val="none"/>
    </w:rPr>
  </w:style>
  <w:style w:type="paragraph" w:styleId="Caption">
    <w:name w:val="caption"/>
    <w:basedOn w:val="Normal"/>
    <w:next w:val="Normal"/>
    <w:qFormat/>
    <w:rPr>
      <w:b/>
      <w:bCs/>
      <w:sz w:val="20"/>
    </w:rPr>
  </w:style>
  <w:style w:type="paragraph" w:styleId="Closing">
    <w:name w:val="Closing"/>
    <w:basedOn w:val="Normal"/>
    <w:pPr>
      <w:ind w:left="4252"/>
    </w:pPr>
  </w:style>
  <w:style w:type="character" w:customStyle="1" w:styleId="ClosingChar">
    <w:name w:val="Closing Char"/>
    <w:rPr>
      <w:w w:val="100"/>
      <w:position w:val="-1"/>
      <w:sz w:val="22"/>
      <w:effect w:val="none"/>
      <w:vertAlign w:val="baseline"/>
      <w:cs w:val="0"/>
      <w:em w:val="none"/>
      <w:lang w:eastAsia="en-US"/>
    </w:rPr>
  </w:style>
  <w:style w:type="table" w:styleId="ColorfulGrid">
    <w:name w:val="Colorful Grid"/>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1">
    <w:name w:val="Colorful Grid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2">
    <w:name w:val="Colorful Grid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3">
    <w:name w:val="Colorful Grid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4">
    <w:name w:val="Colorful Grid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5">
    <w:name w:val="Colorful Grid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Grid-Accent6">
    <w:name w:val="Colorful Grid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insideH w:val="single" w:sz="4" w:space="0" w:color="FFFFFF"/>
      </w:tblBorders>
    </w:tblPr>
  </w:style>
  <w:style w:type="table" w:styleId="ColorfulList">
    <w:name w:val="Colorful List"/>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style>
  <w:style w:type="table" w:styleId="ColorfulShading-Accent1">
    <w:name w:val="Colorful Shading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style>
  <w:style w:type="table" w:styleId="ColorfulShading-Accent2">
    <w:name w:val="Colorful Shading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style>
  <w:style w:type="table" w:styleId="ColorfulShading-Accent3">
    <w:name w:val="Colorful Shading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style>
  <w:style w:type="table" w:styleId="ColorfulShading-Accent4">
    <w:name w:val="Colorful Shading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style>
  <w:style w:type="table" w:styleId="ColorfulShading-Accent5">
    <w:name w:val="Colorful Shading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style>
  <w:style w:type="table" w:styleId="ColorfulShading-Accent6">
    <w:name w:val="Colorful Shading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customStyle="1" w:styleId="CommentTextChar">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eastAsia="en-US"/>
    </w:rPr>
  </w:style>
  <w:style w:type="table" w:styleId="DarkList">
    <w:name w:val="Dark List"/>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spacing w:line="1" w:lineRule="atLeast"/>
      <w:ind w:leftChars="-1" w:left="-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customStyle="1" w:styleId="DateChar">
    <w:name w:val="Date Char"/>
    <w:rPr>
      <w:w w:val="100"/>
      <w:position w:val="-1"/>
      <w:sz w:val="22"/>
      <w:effect w:val="none"/>
      <w:vertAlign w:val="baseline"/>
      <w:cs w:val="0"/>
      <w:em w:val="none"/>
      <w:lang w:eastAsia="en-US"/>
    </w:rPr>
  </w:style>
  <w:style w:type="paragraph" w:styleId="DocumentMap">
    <w:name w:val="Document Map"/>
    <w:basedOn w:val="Normal"/>
    <w:rPr>
      <w:rFonts w:ascii="Tahoma" w:hAnsi="Tahoma" w:cs="Tahoma"/>
      <w:sz w:val="16"/>
      <w:szCs w:val="16"/>
    </w:rPr>
  </w:style>
  <w:style w:type="character" w:customStyle="1" w:styleId="DocumentMapChar">
    <w:name w:val="Document Map Char"/>
    <w:rPr>
      <w:rFonts w:ascii="Tahoma" w:hAnsi="Tahoma" w:cs="Tahoma"/>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w w:val="100"/>
      <w:position w:val="-1"/>
      <w:sz w:val="22"/>
      <w:effect w:val="none"/>
      <w:vertAlign w:val="baseline"/>
      <w:cs w:val="0"/>
      <w:em w:val="none"/>
      <w:lang w:eastAsia="en-US"/>
    </w:rPr>
  </w:style>
  <w:style w:type="character" w:styleId="Emphasis">
    <w:name w:val="Emphasis"/>
    <w:rPr>
      <w:i/>
      <w:iCs/>
      <w:w w:val="100"/>
      <w:position w:val="-1"/>
      <w:effect w:val="none"/>
      <w:vertAlign w:val="baseline"/>
      <w:cs w:val="0"/>
      <w:em w:val="none"/>
    </w:rPr>
  </w:style>
  <w:style w:type="paragraph" w:styleId="EnvelopeAddress">
    <w:name w:val="envelope address"/>
    <w:basedOn w:val="Normal"/>
    <w:pPr>
      <w:framePr w:w="7920" w:hSpace="180" w:wrap="auto" w:vAnchor="page" w:hAnchor="text"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iCs/>
    </w:rPr>
  </w:style>
  <w:style w:type="character" w:customStyle="1" w:styleId="HTMLAddressChar">
    <w:name w:val="HTML Address Char"/>
    <w:rPr>
      <w:i/>
      <w:iCs/>
      <w:w w:val="100"/>
      <w:position w:val="-1"/>
      <w:sz w:val="22"/>
      <w:effect w:val="none"/>
      <w:vertAlign w:val="baseline"/>
      <w:cs w:val="0"/>
      <w:em w:val="none"/>
      <w:lang w:eastAsia="en-US"/>
    </w:rPr>
  </w:style>
  <w:style w:type="character" w:styleId="HTMLCite">
    <w:name w:val="HTML Cite"/>
    <w:rPr>
      <w:i/>
      <w:iCs/>
      <w:w w:val="100"/>
      <w:position w:val="-1"/>
      <w:effect w:val="none"/>
      <w:vertAlign w:val="baseline"/>
      <w:cs w:val="0"/>
      <w:em w:val="none"/>
    </w:rPr>
  </w:style>
  <w:style w:type="character" w:styleId="HTMLCode">
    <w:name w:val="HTML Code"/>
    <w:rPr>
      <w:rFonts w:ascii="Courier New" w:hAnsi="Courier New" w:cs="Courier New"/>
      <w:w w:val="100"/>
      <w:position w:val="-1"/>
      <w:sz w:val="20"/>
      <w:szCs w:val="20"/>
      <w:effect w:val="none"/>
      <w:vertAlign w:val="baseline"/>
      <w:cs w:val="0"/>
      <w:em w:val="none"/>
    </w:rPr>
  </w:style>
  <w:style w:type="character" w:styleId="HTMLDefinition">
    <w:name w:val="HTML Definition"/>
    <w:rPr>
      <w:i/>
      <w:iCs/>
      <w:w w:val="100"/>
      <w:position w:val="-1"/>
      <w:effect w:val="none"/>
      <w:vertAlign w:val="baseline"/>
      <w:cs w:val="0"/>
      <w:em w:val="none"/>
    </w:rPr>
  </w:style>
  <w:style w:type="character" w:styleId="HTMLKeyboard">
    <w:name w:val="HTML Keyboard"/>
    <w:rPr>
      <w:rFonts w:ascii="Courier New" w:hAnsi="Courier New" w:cs="Courier New"/>
      <w:w w:val="100"/>
      <w:position w:val="-1"/>
      <w:sz w:val="20"/>
      <w:szCs w:val="20"/>
      <w:effect w:val="none"/>
      <w:vertAlign w:val="baseline"/>
      <w:cs w:val="0"/>
      <w:em w:val="none"/>
    </w:rPr>
  </w:style>
  <w:style w:type="paragraph" w:styleId="HTMLPreformatted">
    <w:name w:val="HTML Preformatted"/>
    <w:basedOn w:val="Normal"/>
    <w:rPr>
      <w:rFonts w:ascii="Courier New" w:hAnsi="Courier New" w:cs="Courier New"/>
      <w:sz w:val="20"/>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character" w:styleId="HTMLSample">
    <w:name w:val="HTML Sample"/>
    <w:rPr>
      <w:rFonts w:ascii="Courier New" w:hAnsi="Courier New" w:cs="Courier New"/>
      <w:w w:val="100"/>
      <w:position w:val="-1"/>
      <w:effect w:val="none"/>
      <w:vertAlign w:val="baseline"/>
      <w:cs w:val="0"/>
      <w:em w:val="none"/>
    </w:rPr>
  </w:style>
  <w:style w:type="character" w:styleId="HTMLTypewriter">
    <w:name w:val="HTML Typewriter"/>
    <w:rPr>
      <w:rFonts w:ascii="Courier New" w:hAnsi="Courier New" w:cs="Courier New"/>
      <w:w w:val="100"/>
      <w:position w:val="-1"/>
      <w:sz w:val="20"/>
      <w:szCs w:val="20"/>
      <w:effect w:val="none"/>
      <w:vertAlign w:val="baseline"/>
      <w:cs w:val="0"/>
      <w:em w:val="none"/>
    </w:rPr>
  </w:style>
  <w:style w:type="character" w:styleId="HTMLVariable">
    <w:name w:val="HTML Variable"/>
    <w:rPr>
      <w:i/>
      <w:iCs/>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rPr>
      <w:b/>
      <w:bCs/>
      <w:i/>
      <w:iCs/>
      <w:color w:val="4F81BD"/>
      <w:w w:val="100"/>
      <w:position w:val="-1"/>
      <w:effect w:val="none"/>
      <w:vertAlign w:val="baseline"/>
      <w:cs w:val="0"/>
      <w:em w:val="none"/>
    </w:rPr>
  </w:style>
  <w:style w:type="paragraph" w:styleId="IntenseQuote">
    <w:name w:val="Intense Quote"/>
    <w:basedOn w:val="Normal"/>
    <w:next w:val="Normal"/>
    <w:pPr>
      <w:pBdr>
        <w:bottom w:val="single" w:sz="4" w:space="4" w:color="4F81BD"/>
      </w:pBdr>
      <w:spacing w:before="200" w:after="280"/>
      <w:ind w:left="936" w:right="936"/>
    </w:pPr>
    <w:rPr>
      <w:b/>
      <w:bCs/>
      <w:i/>
      <w:iCs/>
      <w:color w:val="4F81BD"/>
    </w:rPr>
  </w:style>
  <w:style w:type="character" w:customStyle="1" w:styleId="IntenseQuoteChar">
    <w:name w:val="Intense Quote Char"/>
    <w:rPr>
      <w:b/>
      <w:bCs/>
      <w:i/>
      <w:iCs/>
      <w:color w:val="4F81BD"/>
      <w:w w:val="100"/>
      <w:position w:val="-1"/>
      <w:sz w:val="22"/>
      <w:effect w:val="none"/>
      <w:vertAlign w:val="baseline"/>
      <w:cs w:val="0"/>
      <w:em w:val="none"/>
      <w:lang w:eastAsia="en-US"/>
    </w:rPr>
  </w:style>
  <w:style w:type="character" w:styleId="IntenseReference">
    <w:name w:val="Intense Reference"/>
    <w:rPr>
      <w:b/>
      <w:bCs/>
      <w:smallCaps/>
      <w:color w:val="C0504D"/>
      <w:spacing w:val="5"/>
      <w:w w:val="100"/>
      <w:position w:val="-1"/>
      <w:u w:val="single"/>
      <w:effect w:val="none"/>
      <w:vertAlign w:val="baseline"/>
      <w:cs w:val="0"/>
      <w:em w:val="none"/>
    </w:rPr>
  </w:style>
  <w:style w:type="table" w:styleId="LightGrid">
    <w:name w:val="Light Grid"/>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LightGrid-Accent1">
    <w:name w:val="Light Grid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LightGrid-Accent2">
    <w:name w:val="Light Grid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LightGrid-Accent6">
    <w:name w:val="Light Grid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LightList">
    <w:name w:val="Light List"/>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LightList-Accent1">
    <w:name w:val="Light List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LightList-Accent2">
    <w:name w:val="Light List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LightList-Accent3">
    <w:name w:val="Light List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LightList-Accent4">
    <w:name w:val="Light List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LightList-Accent5">
    <w:name w:val="Light List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LightList-Accent6">
    <w:name w:val="Light List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LightShading">
    <w:name w:val="Light Shading"/>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LightShading-Accent1">
    <w:name w:val="Light Shading Accent 1"/>
    <w:basedOn w:val="TableNormal"/>
    <w:pPr>
      <w:suppressAutoHyphens/>
      <w:spacing w:line="1" w:lineRule="atLeast"/>
      <w:ind w:leftChars="-1" w:left="-1" w:hangingChars="1"/>
      <w:textDirection w:val="btLr"/>
      <w:textAlignment w:val="top"/>
      <w:outlineLvl w:val="0"/>
    </w:pPr>
    <w:rPr>
      <w:color w:val="365F91"/>
      <w:position w:val="-1"/>
    </w:rPr>
    <w:tblPr>
      <w:tblStyleRowBandSize w:val="1"/>
      <w:tblStyleColBandSize w:val="1"/>
      <w:tblBorders>
        <w:top w:val="single" w:sz="8" w:space="0" w:color="4F81BD"/>
        <w:bottom w:val="single" w:sz="8" w:space="0" w:color="4F81BD"/>
      </w:tblBorders>
    </w:tblPr>
  </w:style>
  <w:style w:type="table" w:styleId="LightShading-Accent2">
    <w:name w:val="Light Shading Accent 2"/>
    <w:basedOn w:val="TableNormal"/>
    <w:pPr>
      <w:suppressAutoHyphens/>
      <w:spacing w:line="1" w:lineRule="atLeast"/>
      <w:ind w:leftChars="-1" w:left="-1" w:hangingChars="1"/>
      <w:textDirection w:val="btLr"/>
      <w:textAlignment w:val="top"/>
      <w:outlineLvl w:val="0"/>
    </w:pPr>
    <w:rPr>
      <w:color w:val="943634"/>
      <w:position w:val="-1"/>
    </w:rPr>
    <w:tblPr>
      <w:tblStyleRowBandSize w:val="1"/>
      <w:tblStyleColBandSize w:val="1"/>
      <w:tblBorders>
        <w:top w:val="single" w:sz="8" w:space="0" w:color="C0504D"/>
        <w:bottom w:val="single" w:sz="8" w:space="0" w:color="C0504D"/>
      </w:tblBorders>
    </w:tblPr>
  </w:style>
  <w:style w:type="table" w:styleId="LightShading-Accent3">
    <w:name w:val="Light Shading Accent 3"/>
    <w:basedOn w:val="TableNormal"/>
    <w:pPr>
      <w:suppressAutoHyphens/>
      <w:spacing w:line="1" w:lineRule="atLeast"/>
      <w:ind w:leftChars="-1" w:left="-1" w:hangingChars="1"/>
      <w:textDirection w:val="btLr"/>
      <w:textAlignment w:val="top"/>
      <w:outlineLvl w:val="0"/>
    </w:pPr>
    <w:rPr>
      <w:color w:val="76923C"/>
      <w:position w:val="-1"/>
    </w:rPr>
    <w:tblPr>
      <w:tblStyleRowBandSize w:val="1"/>
      <w:tblStyleColBandSize w:val="1"/>
      <w:tblBorders>
        <w:top w:val="single" w:sz="8" w:space="0" w:color="9BBB59"/>
        <w:bottom w:val="single" w:sz="8" w:space="0" w:color="9BBB59"/>
      </w:tblBorders>
    </w:tblPr>
  </w:style>
  <w:style w:type="table" w:styleId="LightShading-Accent4">
    <w:name w:val="Light Shading Accent 4"/>
    <w:basedOn w:val="TableNormal"/>
    <w:pPr>
      <w:suppressAutoHyphens/>
      <w:spacing w:line="1" w:lineRule="atLeast"/>
      <w:ind w:leftChars="-1" w:left="-1" w:hangingChars="1"/>
      <w:textDirection w:val="btLr"/>
      <w:textAlignment w:val="top"/>
      <w:outlineLvl w:val="0"/>
    </w:pPr>
    <w:rPr>
      <w:color w:val="5F497A"/>
      <w:position w:val="-1"/>
    </w:rPr>
    <w:tblPr>
      <w:tblStyleRowBandSize w:val="1"/>
      <w:tblStyleColBandSize w:val="1"/>
      <w:tblBorders>
        <w:top w:val="single" w:sz="8" w:space="0" w:color="8064A2"/>
        <w:bottom w:val="single" w:sz="8" w:space="0" w:color="8064A2"/>
      </w:tblBorders>
    </w:tblPr>
  </w:style>
  <w:style w:type="table" w:styleId="LightShading-Accent5">
    <w:name w:val="Light Shading Accent 5"/>
    <w:basedOn w:val="TableNormal"/>
    <w:pPr>
      <w:suppressAutoHyphens/>
      <w:spacing w:line="1" w:lineRule="atLeast"/>
      <w:ind w:leftChars="-1" w:left="-1" w:hangingChars="1"/>
      <w:textDirection w:val="btLr"/>
      <w:textAlignment w:val="top"/>
      <w:outlineLvl w:val="0"/>
    </w:pPr>
    <w:rPr>
      <w:color w:val="31849B"/>
      <w:position w:val="-1"/>
    </w:rPr>
    <w:tblPr>
      <w:tblStyleRowBandSize w:val="1"/>
      <w:tblStyleColBandSize w:val="1"/>
      <w:tblBorders>
        <w:top w:val="single" w:sz="8" w:space="0" w:color="4BACC6"/>
        <w:bottom w:val="single" w:sz="8" w:space="0" w:color="4BACC6"/>
      </w:tblBorders>
    </w:tblPr>
  </w:style>
  <w:style w:type="table" w:styleId="LightShading-Accent6">
    <w:name w:val="Light Shading Accent 6"/>
    <w:basedOn w:val="TableNormal"/>
    <w:pPr>
      <w:suppressAutoHyphens/>
      <w:spacing w:line="1" w:lineRule="atLeast"/>
      <w:ind w:leftChars="-1" w:left="-1" w:hangingChars="1"/>
      <w:textDirection w:val="btLr"/>
      <w:textAlignment w:val="top"/>
      <w:outlineLvl w:val="0"/>
    </w:pPr>
    <w:rPr>
      <w:color w:val="E36C0A"/>
      <w:position w:val="-1"/>
    </w:rPr>
    <w:tblPr>
      <w:tblStyleRowBandSize w:val="1"/>
      <w:tblStyleColBandSize w:val="1"/>
      <w:tblBorders>
        <w:top w:val="single" w:sz="8" w:space="0" w:color="F79646"/>
        <w:bottom w:val="single" w:sz="8" w:space="0" w:color="F79646"/>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contextualSpacing/>
    </w:pPr>
  </w:style>
  <w:style w:type="paragraph" w:styleId="ListNumber2">
    <w:name w:val="List Number 2"/>
    <w:basedOn w:val="Normal"/>
    <w:pPr>
      <w:tabs>
        <w:tab w:val="num" w:pos="720"/>
      </w:tabs>
      <w:contextualSpacing/>
    </w:pPr>
  </w:style>
  <w:style w:type="paragraph" w:styleId="ListNumber3">
    <w:name w:val="List Number 3"/>
    <w:basedOn w:val="Normal"/>
    <w:pPr>
      <w:tabs>
        <w:tab w:val="num" w:pos="720"/>
      </w:tabs>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ind w:leftChars="-1" w:left="-1" w:hangingChars="1"/>
      <w:textDirection w:val="btLr"/>
      <w:textAlignment w:val="baseline"/>
      <w:outlineLvl w:val="0"/>
    </w:pPr>
    <w:rPr>
      <w:rFonts w:ascii="Courier New" w:hAnsi="Courier New" w:cs="Courier New"/>
      <w:position w:val="-1"/>
      <w:lang w:eastAsia="en-US"/>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table" w:styleId="MediumGrid1">
    <w:name w:val="Medium Grid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styleId="MediumGrid1-Accent1">
    <w:name w:val="Medium Grid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style>
  <w:style w:type="table" w:styleId="MediumGrid1-Accent2">
    <w:name w:val="Medium Grid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MediumGrid1-Accent3">
    <w:name w:val="Medium Grid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MediumGrid1-Accent4">
    <w:name w:val="Medium Grid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table" w:styleId="MediumGrid1-Accent5">
    <w:name w:val="Medium Grid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style>
  <w:style w:type="table" w:styleId="MediumGrid1-Accent6">
    <w:name w:val="Medium Grid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style>
  <w:style w:type="table" w:styleId="MediumGrid2">
    <w:name w:val="Medium Grid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style>
  <w:style w:type="table" w:styleId="MediumGrid2-Accent1">
    <w:name w:val="Medium Grid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style>
  <w:style w:type="table" w:styleId="MediumGrid2-Accent2">
    <w:name w:val="Medium Grid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style>
  <w:style w:type="table" w:styleId="MediumGrid2-Accent3">
    <w:name w:val="Medium Grid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style>
  <w:style w:type="table" w:styleId="MediumGrid2-Accent4">
    <w:name w:val="Medium Grid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style>
  <w:style w:type="table" w:styleId="MediumGrid2-Accent5">
    <w:name w:val="Medium Grid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style>
  <w:style w:type="table" w:styleId="MediumGrid2-Accent6">
    <w:name w:val="Medium Grid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style>
  <w:style w:type="table" w:styleId="MediumGrid3">
    <w:name w:val="Medium Grid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1">
    <w:name w:val="Medium Grid 3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2">
    <w:name w:val="Medium Grid 3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3">
    <w:name w:val="Medium Grid 3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4">
    <w:name w:val="Medium Grid 3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5">
    <w:name w:val="Medium Grid 3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Grid3-Accent6">
    <w:name w:val="Medium Grid 3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MediumList1">
    <w:name w:val="Medium Lis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000000"/>
        <w:bottom w:val="single" w:sz="8" w:space="0" w:color="000000"/>
      </w:tblBorders>
    </w:tblPr>
  </w:style>
  <w:style w:type="table" w:styleId="MediumList1-Accent1">
    <w:name w:val="Medium List 1 Accent 1"/>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F81BD"/>
        <w:bottom w:val="single" w:sz="8" w:space="0" w:color="4F81BD"/>
      </w:tblBorders>
    </w:tblPr>
  </w:style>
  <w:style w:type="table" w:styleId="MediumList1-Accent2">
    <w:name w:val="Medium List 1 Accent 2"/>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C0504D"/>
        <w:bottom w:val="single" w:sz="8" w:space="0" w:color="C0504D"/>
      </w:tblBorders>
    </w:tblPr>
  </w:style>
  <w:style w:type="table" w:styleId="MediumList1-Accent3">
    <w:name w:val="Medium List 1 Accent 3"/>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9BBB59"/>
        <w:bottom w:val="single" w:sz="8" w:space="0" w:color="9BBB59"/>
      </w:tblBorders>
    </w:tblPr>
  </w:style>
  <w:style w:type="table" w:styleId="MediumList1-Accent4">
    <w:name w:val="Medium List 1 Accent 4"/>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8064A2"/>
        <w:bottom w:val="single" w:sz="8" w:space="0" w:color="8064A2"/>
      </w:tblBorders>
    </w:tblPr>
  </w:style>
  <w:style w:type="table" w:styleId="MediumList1-Accent5">
    <w:name w:val="Medium List 1 Accent 5"/>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4BACC6"/>
        <w:bottom w:val="single" w:sz="8" w:space="0" w:color="4BACC6"/>
      </w:tblBorders>
    </w:tblPr>
  </w:style>
  <w:style w:type="table" w:styleId="MediumList1-Accent6">
    <w:name w:val="Medium List 1 Accent 6"/>
    <w:basedOn w:val="TableNormal"/>
    <w:pPr>
      <w:suppressAutoHyphens/>
      <w:spacing w:line="1" w:lineRule="atLeast"/>
      <w:ind w:leftChars="-1" w:left="-1" w:hangingChars="1"/>
      <w:textDirection w:val="btLr"/>
      <w:textAlignment w:val="top"/>
      <w:outlineLvl w:val="0"/>
    </w:pPr>
    <w:rPr>
      <w:color w:val="000000"/>
      <w:position w:val="-1"/>
    </w:rPr>
    <w:tblPr>
      <w:tblStyleRowBandSize w:val="1"/>
      <w:tblStyleColBandSize w:val="1"/>
      <w:tblBorders>
        <w:top w:val="single" w:sz="8" w:space="0" w:color="F79646"/>
        <w:bottom w:val="single" w:sz="8" w:space="0" w:color="F79646"/>
      </w:tblBorders>
    </w:tblPr>
  </w:style>
  <w:style w:type="table" w:styleId="MediumList2">
    <w:name w:val="Medium Lis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000000"/>
        <w:left w:val="single" w:sz="8" w:space="0" w:color="000000"/>
        <w:bottom w:val="single" w:sz="8" w:space="0" w:color="000000"/>
        <w:right w:val="single" w:sz="8" w:space="0" w:color="000000"/>
      </w:tblBorders>
    </w:tblPr>
  </w:style>
  <w:style w:type="table" w:styleId="MediumList2-Accent1">
    <w:name w:val="Medium List 2 Accent 1"/>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F81BD"/>
        <w:left w:val="single" w:sz="8" w:space="0" w:color="4F81BD"/>
        <w:bottom w:val="single" w:sz="8" w:space="0" w:color="4F81BD"/>
        <w:right w:val="single" w:sz="8" w:space="0" w:color="4F81BD"/>
      </w:tblBorders>
    </w:tblPr>
  </w:style>
  <w:style w:type="table" w:styleId="MediumList2-Accent2">
    <w:name w:val="Medium List 2 Accent 2"/>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C0504D"/>
        <w:left w:val="single" w:sz="8" w:space="0" w:color="C0504D"/>
        <w:bottom w:val="single" w:sz="8" w:space="0" w:color="C0504D"/>
        <w:right w:val="single" w:sz="8" w:space="0" w:color="C0504D"/>
      </w:tblBorders>
    </w:tblPr>
  </w:style>
  <w:style w:type="table" w:styleId="MediumList2-Accent3">
    <w:name w:val="Medium List 2 Accent 3"/>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9BBB59"/>
        <w:left w:val="single" w:sz="8" w:space="0" w:color="9BBB59"/>
        <w:bottom w:val="single" w:sz="8" w:space="0" w:color="9BBB59"/>
        <w:right w:val="single" w:sz="8" w:space="0" w:color="9BBB59"/>
      </w:tblBorders>
    </w:tblPr>
  </w:style>
  <w:style w:type="table" w:styleId="MediumList2-Accent4">
    <w:name w:val="Medium List 2 Accent 4"/>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MediumList2-Accent5">
    <w:name w:val="Medium List 2 Accent 5"/>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4BACC6"/>
        <w:left w:val="single" w:sz="8" w:space="0" w:color="4BACC6"/>
        <w:bottom w:val="single" w:sz="8" w:space="0" w:color="4BACC6"/>
        <w:right w:val="single" w:sz="8" w:space="0" w:color="4BACC6"/>
      </w:tblBorders>
    </w:tblPr>
  </w:style>
  <w:style w:type="table" w:styleId="MediumList2-Accent6">
    <w:name w:val="Medium List 2 Accent 6"/>
    <w:basedOn w:val="TableNormal"/>
    <w:pPr>
      <w:suppressAutoHyphens/>
      <w:spacing w:line="1" w:lineRule="atLeast"/>
      <w:ind w:leftChars="-1" w:left="-1" w:hangingChars="1"/>
      <w:textDirection w:val="btLr"/>
      <w:textAlignment w:val="top"/>
      <w:outlineLvl w:val="0"/>
    </w:pPr>
    <w:rPr>
      <w:rFonts w:ascii="Cambria" w:hAnsi="Cambria"/>
      <w:color w:val="000000"/>
      <w:position w:val="-1"/>
    </w:rPr>
    <w:tblPr>
      <w:tblStyleRowBandSize w:val="1"/>
      <w:tblStyleColBandSize w:val="1"/>
      <w:tblBorders>
        <w:top w:val="single" w:sz="8" w:space="0" w:color="F79646"/>
        <w:left w:val="single" w:sz="8" w:space="0" w:color="F79646"/>
        <w:bottom w:val="single" w:sz="8" w:space="0" w:color="F79646"/>
        <w:right w:val="single" w:sz="8" w:space="0" w:color="F79646"/>
      </w:tblBorders>
    </w:tblPr>
  </w:style>
  <w:style w:type="table" w:styleId="MediumShading1">
    <w:name w:val="Medium Shading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style>
  <w:style w:type="table" w:styleId="MediumShading1-Accent1">
    <w:name w:val="Medium Shading 1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style>
  <w:style w:type="table" w:styleId="MediumShading1-Accent2">
    <w:name w:val="Medium Shading 1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style>
  <w:style w:type="table" w:styleId="MediumShading1-Accent3">
    <w:name w:val="Medium Shading 1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style>
  <w:style w:type="table" w:styleId="MediumShading1-Accent4">
    <w:name w:val="Medium Shading 1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style>
  <w:style w:type="table" w:styleId="MediumShading1-Accent5">
    <w:name w:val="Medium Shading 1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style>
  <w:style w:type="table" w:styleId="MediumShading1-Accent6">
    <w:name w:val="Medium Shading 1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style>
  <w:style w:type="table" w:styleId="MediumShading2">
    <w:name w:val="Medium Shading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1">
    <w:name w:val="Medium Shading 2 Accent 1"/>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2">
    <w:name w:val="Medium Shading 2 Accent 2"/>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3">
    <w:name w:val="Medium Shading 2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4">
    <w:name w:val="Medium Shading 2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5">
    <w:name w:val="Medium Shading 2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table" w:styleId="MediumShading2-Accent6">
    <w:name w:val="Medium Shading 2 Accent 6"/>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18" w:space="0" w:color="auto"/>
        <w:bottom w:val="single" w:sz="18" w:space="0" w:color="auto"/>
      </w:tblBorders>
    </w:tbl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rPr>
      <w:rFonts w:ascii="Cambria" w:eastAsia="Times New Roman" w:hAnsi="Cambria"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hAnsi="Courier New" w:cs="Courier New"/>
      <w:sz w:val="20"/>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rPr>
      <w:i/>
      <w:iCs/>
      <w:color w:val="000000"/>
    </w:rPr>
  </w:style>
  <w:style w:type="character" w:customStyle="1" w:styleId="QuoteChar">
    <w:name w:val="Quote Char"/>
    <w:rPr>
      <w:i/>
      <w:iCs/>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w w:val="100"/>
      <w:position w:val="-1"/>
      <w:sz w:val="22"/>
      <w:effect w:val="none"/>
      <w:vertAlign w:val="baseline"/>
      <w:cs w:val="0"/>
      <w:em w:val="none"/>
      <w:lang w:eastAsia="en-US"/>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spacing w:after="60"/>
      <w:jc w:val="center"/>
    </w:pPr>
    <w:rPr>
      <w:rFonts w:ascii="Cambria" w:eastAsia="Cambria" w:hAnsi="Cambria" w:cs="Cambria"/>
      <w:sz w:val="24"/>
      <w:szCs w:val="24"/>
    </w:rPr>
  </w:style>
  <w:style w:type="character" w:customStyle="1" w:styleId="SubtitleChar">
    <w:name w:val="Subtitle Char"/>
    <w:rPr>
      <w:rFonts w:ascii="Cambria" w:eastAsia="Times New Roman" w:hAnsi="Cambria" w:cs="Times New Roman"/>
      <w:w w:val="100"/>
      <w:position w:val="-1"/>
      <w:sz w:val="24"/>
      <w:szCs w:val="24"/>
      <w:effect w:val="none"/>
      <w:vertAlign w:val="baseline"/>
      <w:cs w:val="0"/>
      <w:em w:val="none"/>
      <w:lang w:eastAsia="en-US"/>
    </w:rPr>
  </w:style>
  <w:style w:type="character" w:styleId="SubtleEmphasis">
    <w:name w:val="Subtle Emphasis"/>
    <w:rPr>
      <w:i/>
      <w:iCs/>
      <w:color w:val="808080"/>
      <w:w w:val="100"/>
      <w:position w:val="-1"/>
      <w:effect w:val="none"/>
      <w:vertAlign w:val="baseline"/>
      <w:cs w:val="0"/>
      <w:em w:val="none"/>
    </w:rPr>
  </w:style>
  <w:style w:type="character" w:styleId="SubtleReference">
    <w:name w:val="Subtle Reference"/>
    <w:rPr>
      <w:smallCaps/>
      <w:color w:val="C0504D"/>
      <w:w w:val="100"/>
      <w:position w:val="-1"/>
      <w:u w:val="single"/>
      <w:effect w:val="none"/>
      <w:vertAlign w:val="baseline"/>
      <w:cs w:val="0"/>
      <w:em w:val="none"/>
    </w:rPr>
  </w:style>
  <w:style w:type="table" w:styleId="Table3Deffects1">
    <w:name w:val="Table 3D effects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3Deffects2">
    <w:name w:val="Table 3D effects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2">
    <w:name w:val="Table Classic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tblBorders>
    </w:tblPr>
  </w:style>
  <w:style w:type="table" w:styleId="TableClassic3">
    <w:name w:val="Table Classic 3"/>
    <w:basedOn w:val="TableNormal"/>
    <w:pPr>
      <w:suppressAutoHyphens/>
      <w:overflowPunct w:val="0"/>
      <w:autoSpaceDE w:val="0"/>
      <w:autoSpaceDN w:val="0"/>
      <w:adjustRightInd w:val="0"/>
      <w:ind w:leftChars="-1" w:left="-1" w:hangingChars="1"/>
      <w:textDirection w:val="btLr"/>
      <w:textAlignment w:val="baseline"/>
      <w:outlineLvl w:val="0"/>
    </w:pPr>
    <w:rPr>
      <w:color w:val="000080"/>
      <w:position w:val="-1"/>
    </w:rPr>
    <w:tblPr>
      <w:tblBorders>
        <w:top w:val="single" w:sz="12" w:space="0" w:color="000000"/>
        <w:left w:val="single" w:sz="12" w:space="0" w:color="000000"/>
        <w:bottom w:val="single" w:sz="12" w:space="0" w:color="000000"/>
        <w:right w:val="single" w:sz="12" w:space="0" w:color="000000"/>
      </w:tblBorders>
    </w:tblPr>
  </w:style>
  <w:style w:type="table" w:styleId="TableClassic4">
    <w:name w:val="Table Classic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6" w:space="0" w:color="000000"/>
        <w:bottom w:val="single" w:sz="12" w:space="0" w:color="000000"/>
        <w:right w:val="single" w:sz="6" w:space="0" w:color="000000"/>
      </w:tblBorders>
    </w:tblPr>
  </w:style>
  <w:style w:type="table" w:styleId="TableColorful1">
    <w:name w:val="Table Colorful 1"/>
    <w:basedOn w:val="TableNormal"/>
    <w:pPr>
      <w:suppressAutoHyphens/>
      <w:overflowPunct w:val="0"/>
      <w:autoSpaceDE w:val="0"/>
      <w:autoSpaceDN w:val="0"/>
      <w:adjustRightInd w:val="0"/>
      <w:ind w:leftChars="-1" w:left="-1" w:hangingChars="1"/>
      <w:textDirection w:val="btLr"/>
      <w:textAlignment w:val="baseline"/>
      <w:outlineLvl w:val="0"/>
    </w:pPr>
    <w:rPr>
      <w:color w:val="FFFFFF"/>
      <w:position w:val="-1"/>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styleId="TableColorful2">
    <w:name w:val="Table Colorful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bottom w:val="single" w:sz="12" w:space="0" w:color="000000"/>
      </w:tblBorders>
    </w:tblPr>
  </w:style>
  <w:style w:type="table" w:styleId="TableColorful3">
    <w:name w:val="Table Colorful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styleId="TableColumns1">
    <w:name w:val="Table Columns 1"/>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12" w:space="0" w:color="000000"/>
        <w:left w:val="single" w:sz="12" w:space="0" w:color="000000"/>
        <w:bottom w:val="single" w:sz="12" w:space="0" w:color="000000"/>
        <w:right w:val="single" w:sz="12" w:space="0" w:color="000000"/>
      </w:tblBorders>
    </w:tblPr>
  </w:style>
  <w:style w:type="table" w:styleId="TableColumns2">
    <w:name w:val="Table Columns 2"/>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Pr>
  </w:style>
  <w:style w:type="table" w:styleId="TableColumns3">
    <w:name w:val="Table Columns 3"/>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style>
  <w:style w:type="table" w:styleId="TableColumns4">
    <w:name w:val="Table Columns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TableContemporary">
    <w:name w:val="Table Contemporary"/>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insideH w:val="single" w:sz="18" w:space="0" w:color="FFFFFF"/>
        <w:insideV w:val="single" w:sz="18" w:space="0" w:color="FFFFFF"/>
      </w:tblBorders>
    </w:tblPr>
  </w:style>
  <w:style w:type="table" w:styleId="TableElegant">
    <w:name w:val="Table Elegant"/>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TableGrid1">
    <w:name w:val="Table Grid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Grid2">
    <w:name w:val="Table Grid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insideH w:val="single" w:sz="6" w:space="0" w:color="000000"/>
        <w:insideV w:val="single" w:sz="6" w:space="0" w:color="000000"/>
      </w:tblBorders>
    </w:tblPr>
  </w:style>
  <w:style w:type="table" w:styleId="TableGrid3">
    <w:name w:val="Table Grid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12" w:space="0" w:color="000000"/>
        <w:right w:val="single" w:sz="12" w:space="0" w:color="000000"/>
        <w:insideH w:val="single" w:sz="6" w:space="0" w:color="000000"/>
        <w:insideV w:val="single" w:sz="6" w:space="0" w:color="000000"/>
      </w:tblBorders>
    </w:tblPr>
  </w:style>
  <w:style w:type="table" w:styleId="TableGrid5">
    <w:name w:val="Table Grid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6">
    <w:name w:val="Table Grid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styleId="TableGrid7">
    <w:name w:val="Table Grid 7"/>
    <w:basedOn w:val="TableNormal"/>
    <w:pPr>
      <w:suppressAutoHyphens/>
      <w:overflowPunct w:val="0"/>
      <w:autoSpaceDE w:val="0"/>
      <w:autoSpaceDN w:val="0"/>
      <w:adjustRightInd w:val="0"/>
      <w:ind w:leftChars="-1" w:left="-1" w:hangingChars="1"/>
      <w:textDirection w:val="btLr"/>
      <w:textAlignment w:val="baseline"/>
      <w:outlineLvl w:val="0"/>
    </w:pPr>
    <w:rPr>
      <w:b/>
      <w:bCs/>
      <w:position w:val="-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styleId="TableGrid8">
    <w:name w:val="Table Grid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styleId="TableList1">
    <w:name w:val="Table List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80"/>
        <w:left w:val="single" w:sz="6" w:space="0" w:color="008080"/>
        <w:bottom w:val="single" w:sz="12" w:space="0" w:color="008080"/>
        <w:right w:val="single" w:sz="6" w:space="0" w:color="008080"/>
      </w:tblBorders>
    </w:tblPr>
  </w:style>
  <w:style w:type="table" w:styleId="TableList2">
    <w:name w:val="Table List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2"/>
      <w:tblBorders>
        <w:bottom w:val="single" w:sz="12" w:space="0" w:color="808080"/>
      </w:tblBorders>
    </w:tblPr>
  </w:style>
  <w:style w:type="table" w:styleId="TableList3">
    <w:name w:val="Table List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bottom w:val="single" w:sz="12" w:space="0" w:color="000000"/>
        <w:insideH w:val="single" w:sz="6" w:space="0" w:color="000000"/>
      </w:tblBorders>
    </w:tblPr>
  </w:style>
  <w:style w:type="table" w:styleId="TableList4">
    <w:name w:val="Table List 4"/>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styleId="TableList5">
    <w:name w:val="Table List 5"/>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styleId="TableList6">
    <w:name w:val="Table List 6"/>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tblBorders>
    </w:tblPr>
  </w:style>
  <w:style w:type="table" w:styleId="TableList7">
    <w:name w:val="Table List 7"/>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TableList8">
    <w:name w:val="Table List 8"/>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TableSimple1">
    <w:name w:val="Table Simp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8000"/>
        <w:bottom w:val="single" w:sz="12" w:space="0" w:color="008000"/>
      </w:tblBorders>
    </w:tblPr>
  </w:style>
  <w:style w:type="table" w:styleId="TableSimple2">
    <w:name w:val="Table Simp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style>
  <w:style w:type="table" w:styleId="TableSimple3">
    <w:name w:val="Table Simple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12" w:space="0" w:color="000000"/>
        <w:left w:val="single" w:sz="12" w:space="0" w:color="000000"/>
        <w:bottom w:val="single" w:sz="12" w:space="0" w:color="000000"/>
        <w:right w:val="single" w:sz="12" w:space="0" w:color="000000"/>
      </w:tblBorders>
    </w:tblPr>
  </w:style>
  <w:style w:type="table" w:styleId="TableSubtle1">
    <w:name w:val="Table Subtle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left w:val="single" w:sz="6" w:space="0" w:color="000000"/>
        <w:right w:val="single" w:sz="6" w:space="0" w:color="000000"/>
      </w:tblBorders>
    </w:tblPr>
  </w:style>
  <w:style w:type="table" w:styleId="TableTheme">
    <w:name w:val="Table Theme"/>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style>
  <w:style w:type="table" w:styleId="TableWeb2">
    <w:name w:val="Table Web 2"/>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style>
  <w:style w:type="table" w:styleId="TableWeb3">
    <w:name w:val="Table Web 3"/>
    <w:basedOn w:val="TableNormal"/>
    <w:pPr>
      <w:suppressAutoHyphens/>
      <w:overflowPunct w:val="0"/>
      <w:autoSpaceDE w:val="0"/>
      <w:autoSpaceDN w:val="0"/>
      <w:adjustRightInd w:val="0"/>
      <w:ind w:leftChars="-1" w:left="-1" w:hangingChars="1"/>
      <w:textDirection w:val="btLr"/>
      <w:textAlignment w:val="baseline"/>
      <w:outlineLvl w:val="0"/>
    </w:pPr>
    <w:rPr>
      <w:position w:val="-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style>
  <w:style w:type="paragraph" w:styleId="TOCHeading">
    <w:name w:val="TOC Heading"/>
    <w:basedOn w:val="Heading1"/>
    <w:next w:val="Normal"/>
    <w:qFormat/>
    <w:pPr>
      <w:keepNext/>
      <w:numPr>
        <w:numId w:val="0"/>
      </w:numPr>
      <w:overflowPunct w:val="0"/>
      <w:autoSpaceDE w:val="0"/>
      <w:autoSpaceDN w:val="0"/>
      <w:spacing w:before="240" w:after="60" w:line="360" w:lineRule="auto"/>
      <w:ind w:leftChars="-1" w:left="-1" w:hangingChars="1" w:hanging="1"/>
      <w:textAlignment w:val="baseline"/>
      <w:outlineLvl w:val="9"/>
    </w:pPr>
    <w:rPr>
      <w:rFonts w:ascii="Cambria" w:hAnsi="Cambria"/>
      <w:b/>
      <w:bCs/>
      <w:kern w:val="32"/>
      <w:sz w:val="32"/>
      <w:szCs w:val="32"/>
    </w:rPr>
  </w:style>
  <w:style w:type="character" w:customStyle="1" w:styleId="Heading1Char">
    <w:name w:val="Heading 1 Char"/>
    <w:rPr>
      <w:w w:val="100"/>
      <w:position w:val="-1"/>
      <w:sz w:val="22"/>
      <w:effect w:val="none"/>
      <w:vertAlign w:val="baseline"/>
      <w:cs w:val="0"/>
      <w:em w:val="none"/>
      <w:lang w:eastAsia="zh-CN"/>
    </w:rPr>
  </w:style>
  <w:style w:type="character" w:customStyle="1" w:styleId="Heading2Char">
    <w:name w:val="Heading 2 Char"/>
    <w:rPr>
      <w:rFonts w:ascii="Calibri" w:eastAsia="STZhongsong" w:hAnsi="Calibri"/>
      <w:w w:val="100"/>
      <w:position w:val="-1"/>
      <w:sz w:val="22"/>
      <w:effect w:val="none"/>
      <w:vertAlign w:val="baseline"/>
      <w:cs w:val="0"/>
      <w:em w:val="none"/>
      <w:lang w:eastAsia="zh-CN"/>
    </w:rPr>
  </w:style>
  <w:style w:type="character" w:customStyle="1" w:styleId="Heading3Char">
    <w:name w:val="Heading 3 Char"/>
    <w:rPr>
      <w:w w:val="100"/>
      <w:position w:val="-1"/>
      <w:sz w:val="22"/>
      <w:effect w:val="none"/>
      <w:vertAlign w:val="baseline"/>
      <w:cs w:val="0"/>
      <w:em w:val="none"/>
      <w:lang w:eastAsia="zh-CN"/>
    </w:rPr>
  </w:style>
  <w:style w:type="character" w:customStyle="1" w:styleId="Heading4Char">
    <w:name w:val="Heading 4 Char"/>
    <w:rPr>
      <w:w w:val="100"/>
      <w:position w:val="-1"/>
      <w:sz w:val="22"/>
      <w:effect w:val="none"/>
      <w:vertAlign w:val="baseline"/>
      <w:cs w:val="0"/>
      <w:em w:val="none"/>
      <w:lang w:eastAsia="zh-CN"/>
    </w:rPr>
  </w:style>
  <w:style w:type="character" w:customStyle="1" w:styleId="Heading5Char">
    <w:name w:val="Heading 5 Char"/>
    <w:rPr>
      <w:w w:val="100"/>
      <w:position w:val="-1"/>
      <w:sz w:val="22"/>
      <w:effect w:val="none"/>
      <w:vertAlign w:val="baseline"/>
      <w:cs w:val="0"/>
      <w:em w:val="none"/>
      <w:lang w:eastAsia="zh-CN"/>
    </w:rPr>
  </w:style>
  <w:style w:type="character" w:customStyle="1" w:styleId="MarginTextChar">
    <w:name w:val="Margin Text Char"/>
    <w:rPr>
      <w:rFonts w:ascii="Calibri" w:eastAsia="STZhongsong" w:hAnsi="Calibri"/>
      <w:w w:val="100"/>
      <w:position w:val="-1"/>
      <w:sz w:val="22"/>
      <w:effect w:val="none"/>
      <w:vertAlign w:val="baseline"/>
      <w:cs w:val="0"/>
      <w:em w:val="none"/>
      <w:lang w:eastAsia="zh-CN"/>
    </w:rPr>
  </w:style>
  <w:style w:type="character" w:customStyle="1" w:styleId="BodyTextIndent2Char">
    <w:name w:val="Body Text Indent 2 Char"/>
    <w:rPr>
      <w:w w:val="100"/>
      <w:position w:val="-1"/>
      <w:sz w:val="22"/>
      <w:effect w:val="none"/>
      <w:vertAlign w:val="baseline"/>
      <w:cs w:val="0"/>
      <w:em w:val="none"/>
      <w:lang w:eastAsia="zh-CN"/>
    </w:rPr>
  </w:style>
  <w:style w:type="paragraph" w:customStyle="1" w:styleId="PartDes">
    <w:name w:val="PartDes"/>
    <w:basedOn w:val="Normal"/>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pPr>
      <w:numPr>
        <w:numId w:val="0"/>
      </w:numPr>
      <w:adjustRightInd/>
      <w:spacing w:after="200"/>
      <w:ind w:leftChars="-1" w:left="1582" w:hangingChars="1" w:hanging="720"/>
    </w:pPr>
    <w:rPr>
      <w:rFonts w:ascii="Arial" w:eastAsia="Calibri" w:hAnsi="Arial" w:cs="Arial"/>
      <w:sz w:val="20"/>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pPr>
      <w:tabs>
        <w:tab w:val="left" w:pos="2552"/>
      </w:tabs>
    </w:pPr>
  </w:style>
  <w:style w:type="paragraph" w:customStyle="1" w:styleId="GPSL5numberedclause">
    <w:name w:val="GPS L5 numbered clause"/>
    <w:basedOn w:val="GPSL4numberedclause"/>
    <w:pPr>
      <w:tabs>
        <w:tab w:val="left" w:pos="3119"/>
      </w:tabs>
    </w:pPr>
  </w:style>
  <w:style w:type="paragraph" w:customStyle="1" w:styleId="GPSL2NumberedBoldHeading">
    <w:name w:val="GPS L2 Numbered Bold Heading"/>
    <w:basedOn w:val="Normal"/>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pPr>
      <w:tabs>
        <w:tab w:val="left" w:pos="3686"/>
      </w:tabs>
    </w:p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keepNext/>
      <w:tabs>
        <w:tab w:val="clear" w:pos="142"/>
      </w:tabs>
      <w:outlineLvl w:val="9"/>
    </w:pPr>
  </w:style>
  <w:style w:type="paragraph" w:customStyle="1" w:styleId="GPSL2Numbered">
    <w:name w:val="GPS L2 Numbered"/>
    <w:basedOn w:val="GPSL2NumberedBoldHeading"/>
    <w:pPr>
      <w:tabs>
        <w:tab w:val="clear" w:pos="1134"/>
      </w:tabs>
    </w:pPr>
    <w:rPr>
      <w:b w:val="0"/>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character" w:customStyle="1" w:styleId="FooterChar">
    <w:name w:val="Footer Char"/>
    <w:rPr>
      <w:w w:val="100"/>
      <w:position w:val="-1"/>
      <w:sz w:val="22"/>
      <w:effect w:val="none"/>
      <w:vertAlign w:val="baseline"/>
      <w:cs w:val="0"/>
      <w:em w:val="none"/>
      <w:lang w:eastAsia="en-US"/>
    </w:rPr>
  </w:style>
  <w:style w:type="paragraph" w:customStyle="1" w:styleId="GPsDefinition">
    <w:name w:val="GPs Definition"/>
    <w:basedOn w:val="Normal"/>
    <w:pPr>
      <w:tabs>
        <w:tab w:val="left" w:pos="-9"/>
        <w:tab w:val="num" w:pos="720"/>
      </w:tabs>
      <w:spacing w:after="120" w:line="240" w:lineRule="auto"/>
    </w:pPr>
    <w:rPr>
      <w:rFonts w:ascii="Arial" w:hAnsi="Arial" w:cs="Arial"/>
    </w:rPr>
  </w:style>
  <w:style w:type="paragraph" w:customStyle="1" w:styleId="GPSDefinitionL2">
    <w:name w:val="GPS Definition L2"/>
    <w:basedOn w:val="GPsDefinition"/>
    <w:pPr>
      <w:tabs>
        <w:tab w:val="clear" w:pos="-9"/>
        <w:tab w:val="clear" w:pos="720"/>
        <w:tab w:val="left" w:pos="144"/>
        <w:tab w:val="num" w:pos="1440"/>
      </w:tabs>
      <w:ind w:hanging="545"/>
    </w:pPr>
  </w:style>
  <w:style w:type="paragraph" w:customStyle="1" w:styleId="GPSDefinitionL3">
    <w:name w:val="GPS Definition L3"/>
    <w:basedOn w:val="GPSDefinitionL2"/>
    <w:pPr>
      <w:tabs>
        <w:tab w:val="clear" w:pos="1440"/>
        <w:tab w:val="num" w:pos="2160"/>
      </w:tabs>
    </w:pPr>
  </w:style>
  <w:style w:type="paragraph" w:customStyle="1" w:styleId="GPSDefinitionL4">
    <w:name w:val="GPS Definition L4"/>
    <w:basedOn w:val="GPSDefinitionL3"/>
    <w:pPr>
      <w:tabs>
        <w:tab w:val="clear" w:pos="2160"/>
        <w:tab w:val="num" w:pos="2880"/>
      </w:tabs>
    </w:pPr>
  </w:style>
  <w:style w:type="paragraph" w:customStyle="1" w:styleId="GPSDefinitionTerm">
    <w:name w:val="GPS Definition Term"/>
    <w:basedOn w:val="Normal"/>
    <w:pPr>
      <w:spacing w:after="120" w:line="240" w:lineRule="auto"/>
      <w:ind w:left="-108"/>
      <w:jc w:val="left"/>
    </w:pPr>
    <w:rPr>
      <w:rFonts w:ascii="Arial" w:hAnsi="Arial" w:cs="Arial"/>
      <w:b/>
    </w:rPr>
  </w:style>
  <w:style w:type="character" w:customStyle="1" w:styleId="HeaderChar">
    <w:name w:val="Header Char"/>
    <w:rPr>
      <w:w w:val="100"/>
      <w:position w:val="-1"/>
      <w:sz w:val="22"/>
      <w:effect w:val="none"/>
      <w:vertAlign w:val="baseline"/>
      <w:cs w:val="0"/>
      <w:em w:val="none"/>
      <w:lang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rPr>
      <w:rFonts w:ascii="Cambria" w:eastAsia="Cambria" w:hAnsi="Cambria" w:cs="Cambria"/>
      <w:b/>
      <w:color w:val="FFFFFF"/>
    </w:rPr>
    <w:tblPr>
      <w:tblStyleRowBandSize w:val="1"/>
      <w:tblStyleColBandSize w:val="1"/>
    </w:tblPr>
  </w:style>
  <w:style w:type="table" w:customStyle="1" w:styleId="a3">
    <w:basedOn w:val="TableNormal"/>
    <w:rPr>
      <w:rFonts w:ascii="Cambria" w:eastAsia="Cambria" w:hAnsi="Cambria" w:cs="Cambria"/>
      <w:b/>
      <w:color w:val="FFFFFF"/>
    </w:rPr>
    <w:tblPr>
      <w:tblStyleRowBandSize w:val="1"/>
      <w:tblStyleColBandSize w:val="1"/>
    </w:tblPr>
  </w:style>
  <w:style w:type="table" w:customStyle="1" w:styleId="a4">
    <w:basedOn w:val="TableNormal"/>
    <w:rPr>
      <w:rFonts w:ascii="Cambria" w:eastAsia="Cambria" w:hAnsi="Cambria" w:cs="Cambria"/>
      <w:b/>
      <w:color w:val="FFFFFF"/>
    </w:rPr>
    <w:tblPr>
      <w:tblStyleRowBandSize w:val="1"/>
      <w:tblStyleColBandSize w:val="1"/>
    </w:tblPr>
  </w:style>
  <w:style w:type="table" w:customStyle="1" w:styleId="a5">
    <w:basedOn w:val="TableNormal"/>
    <w:rPr>
      <w:rFonts w:ascii="Cambria" w:eastAsia="Cambria" w:hAnsi="Cambria" w:cs="Cambria"/>
      <w:b/>
      <w:color w:val="FFFFFF"/>
    </w:rPr>
    <w:tblPr>
      <w:tblStyleRowBandSize w:val="1"/>
      <w:tblStyleColBandSize w:val="1"/>
    </w:tblPr>
  </w:style>
  <w:style w:type="table" w:customStyle="1" w:styleId="a6">
    <w:basedOn w:val="TableNormal"/>
    <w:rPr>
      <w:rFonts w:ascii="Cambria" w:eastAsia="Cambria" w:hAnsi="Cambria" w:cs="Cambria"/>
      <w:b/>
      <w:color w:val="FFFFFF"/>
    </w:rPr>
    <w:tblPr>
      <w:tblStyleRowBandSize w:val="1"/>
      <w:tblStyleColBandSize w:val="1"/>
    </w:tblPr>
  </w:style>
  <w:style w:type="table" w:customStyle="1" w:styleId="a7">
    <w:basedOn w:val="TableNormal"/>
    <w:rPr>
      <w:rFonts w:ascii="Cambria" w:eastAsia="Cambria" w:hAnsi="Cambria" w:cs="Cambria"/>
      <w:b/>
      <w:color w:val="FFFFFF"/>
    </w:rPr>
    <w:tblPr>
      <w:tblStyleRowBandSize w:val="1"/>
      <w:tblStyleColBandSize w:val="1"/>
    </w:tblPr>
  </w:style>
  <w:style w:type="table" w:customStyle="1" w:styleId="a8">
    <w:basedOn w:val="TableNormal"/>
    <w:rPr>
      <w:rFonts w:ascii="Cambria" w:eastAsia="Cambria" w:hAnsi="Cambria" w:cs="Cambria"/>
      <w:b/>
      <w:color w:val="FFFFFF"/>
    </w:rPr>
    <w:tblPr>
      <w:tblStyleRowBandSize w:val="1"/>
      <w:tblStyleColBandSize w:val="1"/>
    </w:tblPr>
  </w:style>
  <w:style w:type="table" w:customStyle="1" w:styleId="a9">
    <w:basedOn w:val="TableNormal"/>
    <w:rPr>
      <w:rFonts w:ascii="Cambria" w:eastAsia="Cambria" w:hAnsi="Cambria" w:cs="Cambria"/>
      <w:b/>
      <w:color w:val="FFFFFF"/>
    </w:rPr>
    <w:tblPr>
      <w:tblStyleRowBandSize w:val="1"/>
      <w:tblStyleColBandSize w:val="1"/>
    </w:tblPr>
  </w:style>
  <w:style w:type="paragraph" w:styleId="Revision">
    <w:name w:val="Revision"/>
    <w:hidden/>
    <w:uiPriority w:val="99"/>
    <w:semiHidden/>
    <w:rsid w:val="001273C6"/>
    <w:pPr>
      <w:spacing w:after="0" w:line="240" w:lineRule="auto"/>
      <w:ind w:firstLine="0"/>
      <w:jc w:val="left"/>
    </w:pPr>
    <w:rPr>
      <w:position w:val="-1"/>
      <w:lang w:eastAsia="en-US"/>
    </w:rPr>
  </w:style>
  <w:style w:type="table" w:customStyle="1" w:styleId="aa">
    <w:basedOn w:val="TableNormal"/>
    <w:rPr>
      <w:rFonts w:ascii="Cambria" w:eastAsia="Cambria" w:hAnsi="Cambria" w:cs="Cambria"/>
      <w:b/>
      <w:color w:val="FFFFFF"/>
    </w:rPr>
    <w:tblPr>
      <w:tblStyleRowBandSize w:val="1"/>
      <w:tblStyleColBandSize w:val="1"/>
    </w:tblPr>
  </w:style>
  <w:style w:type="table" w:customStyle="1" w:styleId="ab">
    <w:basedOn w:val="TableNormal"/>
    <w:rPr>
      <w:rFonts w:ascii="Cambria" w:eastAsia="Cambria" w:hAnsi="Cambria" w:cs="Cambria"/>
      <w:b/>
      <w:color w:val="FFFFFF"/>
    </w:rPr>
    <w:tblPr>
      <w:tblStyleRowBandSize w:val="1"/>
      <w:tblStyleColBandSize w:val="1"/>
    </w:tblPr>
  </w:style>
  <w:style w:type="table" w:customStyle="1" w:styleId="ac">
    <w:basedOn w:val="TableNormal"/>
    <w:rPr>
      <w:rFonts w:ascii="Cambria" w:eastAsia="Cambria" w:hAnsi="Cambria" w:cs="Cambria"/>
      <w:b/>
      <w:color w:val="FFFFFF"/>
    </w:rPr>
    <w:tblPr>
      <w:tblStyleRowBandSize w:val="1"/>
      <w:tblStyleColBandSize w:val="1"/>
    </w:tblPr>
  </w:style>
  <w:style w:type="table" w:customStyle="1" w:styleId="ad">
    <w:basedOn w:val="TableNormal"/>
    <w:rPr>
      <w:rFonts w:ascii="Cambria" w:eastAsia="Cambria" w:hAnsi="Cambria" w:cs="Cambria"/>
      <w:b/>
      <w:color w:val="FFFFFF"/>
    </w:rPr>
    <w:tblPr>
      <w:tblStyleRowBandSize w:val="1"/>
      <w:tblStyleColBandSize w:val="1"/>
    </w:tblPr>
  </w:style>
  <w:style w:type="table" w:customStyle="1" w:styleId="ae">
    <w:basedOn w:val="TableNormal"/>
    <w:rPr>
      <w:rFonts w:ascii="Cambria" w:eastAsia="Cambria" w:hAnsi="Cambria" w:cs="Cambria"/>
      <w:b/>
      <w:color w:val="FFFFFF"/>
    </w:rPr>
    <w:tblPr>
      <w:tblStyleRowBandSize w:val="1"/>
      <w:tblStyleColBandSize w:val="1"/>
    </w:tblPr>
  </w:style>
  <w:style w:type="table" w:customStyle="1" w:styleId="af">
    <w:basedOn w:val="TableNormal"/>
    <w:rPr>
      <w:rFonts w:ascii="Cambria" w:eastAsia="Cambria" w:hAnsi="Cambria" w:cs="Cambria"/>
      <w:b/>
      <w:color w:val="FFFFFF"/>
    </w:rPr>
    <w:tblPr>
      <w:tblStyleRowBandSize w:val="1"/>
      <w:tblStyleColBandSize w:val="1"/>
    </w:tblPr>
  </w:style>
  <w:style w:type="table" w:customStyle="1" w:styleId="af0">
    <w:basedOn w:val="TableNormal"/>
    <w:rPr>
      <w:rFonts w:ascii="Cambria" w:eastAsia="Cambria" w:hAnsi="Cambria" w:cs="Cambria"/>
      <w:b/>
      <w:color w:val="FFFFFF"/>
    </w:rPr>
    <w:tblPr>
      <w:tblStyleRowBandSize w:val="1"/>
      <w:tblStyleColBandSize w:val="1"/>
    </w:tblPr>
  </w:style>
  <w:style w:type="table" w:customStyle="1" w:styleId="af1">
    <w:basedOn w:val="TableNormal"/>
    <w:rPr>
      <w:rFonts w:ascii="Cambria" w:eastAsia="Cambria" w:hAnsi="Cambria" w:cs="Cambria"/>
      <w:b/>
      <w:color w:val="FFFFFF"/>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lRGM+oWs/SqyI/uij2MwBi2Pw==">AMUW2mVx2tbwYfFk6F+0yDwttAsp0vE6RudUnKpgvh9GOoZPTwH5JK4GlpFzzuep56lPMMwSRXwFkV3elRlGUULgwfxk0+zYqvnHej7ejEh1NXzrBnoYUxEAyKR/ecf6rBgF9yMQTUQ1F47JqJwK8WQkP0ffz6BYAfYBf/6W2sSMO3w+E5r70vd4R7BQr0toUPlKWWAi7hcqM7uWRInMjxJlNq146ktmr+3uTcbPUkqEmjneeNqbq7Ou2vprWcLDnix6vtQUJAT8oUe2xPhZXPU6UHPD92chMUWOUcamu99nJY8t3TzL0zptt/7k1Tt1hWK2aVx76ar/z5uA51PGz6Uw93pGUYiH4I2NkI0jwfERF0Rbwa8M6iFJtqu5L8tLwryyszeBl4Kn+xh88jla+A/1+swU2zp6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Bodell</dc:creator>
  <cp:lastModifiedBy>Stephanie Porter</cp:lastModifiedBy>
  <cp:revision>4</cp:revision>
  <dcterms:created xsi:type="dcterms:W3CDTF">2023-10-06T13:20:00Z</dcterms:created>
  <dcterms:modified xsi:type="dcterms:W3CDTF">2023-10-17T15:26:00Z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